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4"/>
        <w:tblW w:w="9672" w:type="dxa"/>
        <w:jc w:val="center"/>
        <w:tblLayout w:type="fixed"/>
        <w:tblCellMar>
          <w:top w:w="0" w:type="dxa"/>
          <w:left w:w="108" w:type="dxa"/>
          <w:bottom w:w="0" w:type="dxa"/>
          <w:right w:w="108" w:type="dxa"/>
        </w:tblCellMar>
      </w:tblPr>
      <w:tblGrid>
        <w:gridCol w:w="9672"/>
      </w:tblGrid>
      <w:tr>
        <w:tblPrEx>
          <w:tblCellMar>
            <w:top w:w="0" w:type="dxa"/>
            <w:left w:w="108" w:type="dxa"/>
            <w:bottom w:w="0" w:type="dxa"/>
            <w:right w:w="108" w:type="dxa"/>
          </w:tblCellMar>
        </w:tblPrEx>
        <w:trPr>
          <w:trHeight w:val="531" w:hRule="atLeast"/>
          <w:jc w:val="center"/>
        </w:trPr>
        <w:tc>
          <w:tcPr>
            <w:tcW w:w="9672" w:type="dxa"/>
          </w:tcPr>
          <w:p>
            <w:pPr>
              <w:rPr>
                <w:sz w:val="32"/>
                <w:szCs w:val="32"/>
              </w:rPr>
            </w:pPr>
          </w:p>
        </w:tc>
      </w:tr>
      <w:tr>
        <w:tblPrEx>
          <w:tblCellMar>
            <w:top w:w="0" w:type="dxa"/>
            <w:left w:w="108" w:type="dxa"/>
            <w:bottom w:w="0" w:type="dxa"/>
            <w:right w:w="108" w:type="dxa"/>
          </w:tblCellMar>
        </w:tblPrEx>
        <w:trPr>
          <w:trHeight w:val="2050" w:hRule="atLeast"/>
          <w:jc w:val="center"/>
        </w:trPr>
        <w:tc>
          <w:tcPr>
            <w:tcW w:w="9672" w:type="dxa"/>
            <w:vAlign w:val="center"/>
          </w:tcPr>
          <w:p>
            <w:pPr>
              <w:jc w:val="center"/>
              <w:rPr>
                <w:rFonts w:ascii="华康简标题宋" w:hAnsi="华康简标题宋" w:eastAsia="华康简标题宋" w:cs="华康简标题宋"/>
              </w:rPr>
            </w:pPr>
            <w:r>
              <w:rPr>
                <w:rFonts w:hint="eastAsia" w:ascii="华康简标题宋" w:hAnsi="华康简标题宋" w:eastAsia="华康简标题宋" w:cs="华康简标题宋"/>
                <w:color w:val="FF0000"/>
                <w:w w:val="50"/>
                <w:sz w:val="104"/>
                <w:szCs w:val="104"/>
              </w:rPr>
              <w:t>共青团东莞理工学院城市学院委员会文件</w:t>
            </w:r>
          </w:p>
        </w:tc>
      </w:tr>
      <w:tr>
        <w:tblPrEx>
          <w:tblCellMar>
            <w:top w:w="0" w:type="dxa"/>
            <w:left w:w="108" w:type="dxa"/>
            <w:bottom w:w="0" w:type="dxa"/>
            <w:right w:w="108" w:type="dxa"/>
          </w:tblCellMar>
        </w:tblPrEx>
        <w:trPr>
          <w:trHeight w:val="546" w:hRule="atLeast"/>
          <w:jc w:val="center"/>
        </w:trPr>
        <w:tc>
          <w:tcPr>
            <w:tcW w:w="9672" w:type="dxa"/>
          </w:tcPr>
          <w:p>
            <w:pPr>
              <w:jc w:val="center"/>
              <w:rPr>
                <w:sz w:val="32"/>
                <w:szCs w:val="32"/>
              </w:rPr>
            </w:pPr>
            <w:r>
              <w:rPr>
                <w:rFonts w:hint="eastAsia" w:ascii="仿宋_GB2312" w:hAnsi="仿宋_GB2312" w:eastAsia="仿宋_GB2312" w:cs="仿宋_GB2312"/>
                <w:sz w:val="32"/>
                <w:szCs w:val="32"/>
              </w:rPr>
              <w:t>东理城团〔</w:t>
            </w:r>
            <w:r>
              <w:rPr>
                <w:rFonts w:eastAsia="仿宋_GB2312"/>
                <w:sz w:val="32"/>
                <w:szCs w:val="32"/>
              </w:rPr>
              <w:t>20</w:t>
            </w:r>
            <w:r>
              <w:rPr>
                <w:rFonts w:hint="eastAsia" w:eastAsia="仿宋_GB2312"/>
                <w:sz w:val="32"/>
                <w:szCs w:val="32"/>
              </w:rPr>
              <w:t>20</w:t>
            </w:r>
            <w:r>
              <w:rPr>
                <w:rFonts w:hint="eastAsia" w:ascii="仿宋_GB2312" w:hAnsi="仿宋_GB2312" w:eastAsia="仿宋_GB2312" w:cs="仿宋_GB2312"/>
                <w:sz w:val="32"/>
                <w:szCs w:val="32"/>
              </w:rPr>
              <w:t>〕</w:t>
            </w:r>
            <w:r>
              <w:rPr>
                <w:rFonts w:eastAsia="仿宋_GB2312"/>
                <w:sz w:val="32"/>
                <w:szCs w:val="32"/>
              </w:rPr>
              <w:t>2</w:t>
            </w:r>
            <w:r>
              <w:rPr>
                <w:rFonts w:hint="eastAsia" w:eastAsia="仿宋_GB2312"/>
                <w:sz w:val="32"/>
                <w:szCs w:val="32"/>
              </w:rPr>
              <w:t>4</w:t>
            </w:r>
            <w:r>
              <w:rPr>
                <w:rFonts w:hint="eastAsia" w:ascii="仿宋_GB2312" w:hAnsi="仿宋_GB2312" w:eastAsia="仿宋_GB2312" w:cs="仿宋_GB2312"/>
                <w:sz w:val="32"/>
                <w:szCs w:val="32"/>
              </w:rPr>
              <w:t>号</w:t>
            </w:r>
          </w:p>
        </w:tc>
      </w:tr>
      <w:tr>
        <w:trPr>
          <w:trHeight w:val="804" w:hRule="atLeast"/>
          <w:jc w:val="center"/>
        </w:trPr>
        <w:tc>
          <w:tcPr>
            <w:tcW w:w="9672" w:type="dxa"/>
          </w:tcPr>
          <w:p>
            <w:pPr>
              <w:jc w:val="center"/>
            </w:pPr>
            <w:r>
              <w:rPr>
                <w:sz w:val="36"/>
              </w:rPr>
              <mc:AlternateContent>
                <mc:Choice Requires="wps">
                  <w:drawing>
                    <wp:anchor distT="0" distB="0" distL="114300" distR="114300" simplePos="0" relativeHeight="251657216" behindDoc="0" locked="0" layoutInCell="1" allowOverlap="1">
                      <wp:simplePos x="0" y="0"/>
                      <wp:positionH relativeFrom="column">
                        <wp:posOffset>3257550</wp:posOffset>
                      </wp:positionH>
                      <wp:positionV relativeFrom="paragraph">
                        <wp:posOffset>309880</wp:posOffset>
                      </wp:positionV>
                      <wp:extent cx="2815590" cy="635"/>
                      <wp:effectExtent l="0" t="12700" r="3810" b="12065"/>
                      <wp:wrapNone/>
                      <wp:docPr id="5" name="直线 1"/>
                      <wp:cNvGraphicFramePr/>
                      <a:graphic xmlns:a="http://schemas.openxmlformats.org/drawingml/2006/main">
                        <a:graphicData uri="http://schemas.microsoft.com/office/word/2010/wordprocessingShape">
                          <wps:wsp>
                            <wps:cNvCnPr/>
                            <wps:spPr bwMode="auto">
                              <a:xfrm>
                                <a:off x="0" y="0"/>
                                <a:ext cx="2815590" cy="635"/>
                              </a:xfrm>
                              <a:prstGeom prst="line">
                                <a:avLst/>
                              </a:prstGeom>
                              <a:noFill/>
                              <a:ln w="25400">
                                <a:solidFill>
                                  <a:srgbClr val="FF0000"/>
                                </a:solidFill>
                                <a:round/>
                              </a:ln>
                            </wps:spPr>
                            <wps:bodyPr/>
                          </wps:wsp>
                        </a:graphicData>
                      </a:graphic>
                    </wp:anchor>
                  </w:drawing>
                </mc:Choice>
                <mc:Fallback>
                  <w:pict>
                    <v:line id="直线 1" o:spid="_x0000_s1026" o:spt="20" style="position:absolute;left:0pt;margin-left:256.5pt;margin-top:24.4pt;height:0.05pt;width:221.7pt;z-index:251657216;mso-width-relative:page;mso-height-relative:page;" filled="f" stroked="t" coordsize="21600,21600" o:gfxdata="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F1wV9cAAAAJAQAADwAAAAAAAAABACAAAAAiAAAAZHJzL2Rvd25yZXYueG1s&#10;UEsBAhQAFAAAAAgAh07iQL3+CUDAAQAAcgMAAA4AAAAAAAAAAQAgAAAAJgEAAGRycy9lMm9Eb2Mu&#10;eG1sUEsFBgAAAAAGAAYAWQEAAFgFAAAAAA==&#10;">
                      <v:fill on="f" focussize="0,0"/>
                      <v:stroke weight="2pt" color="#FF0000" joinstyle="round"/>
                      <v:imagedata o:title=""/>
                      <o:lock v:ext="edit" aspectratio="f"/>
                    </v:line>
                  </w:pict>
                </mc:Fallback>
              </mc:AlternateContent>
            </w:r>
            <w:r>
              <w:rPr>
                <w:sz w:val="36"/>
              </w:rPr>
              <mc:AlternateContent>
                <mc:Choice Requires="wps">
                  <w:drawing>
                    <wp:anchor distT="0" distB="0" distL="114300" distR="114300" simplePos="0" relativeHeight="251658240" behindDoc="0" locked="0" layoutInCell="1" allowOverlap="1">
                      <wp:simplePos x="0" y="0"/>
                      <wp:positionH relativeFrom="column">
                        <wp:posOffset>-70485</wp:posOffset>
                      </wp:positionH>
                      <wp:positionV relativeFrom="paragraph">
                        <wp:posOffset>318770</wp:posOffset>
                      </wp:positionV>
                      <wp:extent cx="2814955" cy="635"/>
                      <wp:effectExtent l="0" t="12700" r="4445" b="12065"/>
                      <wp:wrapNone/>
                      <wp:docPr id="4" name="直线 1"/>
                      <wp:cNvGraphicFramePr/>
                      <a:graphic xmlns:a="http://schemas.openxmlformats.org/drawingml/2006/main">
                        <a:graphicData uri="http://schemas.microsoft.com/office/word/2010/wordprocessingShape">
                          <wps:wsp>
                            <wps:cNvCnPr/>
                            <wps:spPr bwMode="auto">
                              <a:xfrm>
                                <a:off x="0" y="0"/>
                                <a:ext cx="2814955" cy="635"/>
                              </a:xfrm>
                              <a:prstGeom prst="line">
                                <a:avLst/>
                              </a:prstGeom>
                              <a:noFill/>
                              <a:ln w="25400">
                                <a:solidFill>
                                  <a:srgbClr val="FF0000"/>
                                </a:solidFill>
                                <a:round/>
                              </a:ln>
                            </wps:spPr>
                            <wps:bodyPr/>
                          </wps:wsp>
                        </a:graphicData>
                      </a:graphic>
                    </wp:anchor>
                  </w:drawing>
                </mc:Choice>
                <mc:Fallback>
                  <w:pict>
                    <v:line id="直线 1" o:spid="_x0000_s1026" o:spt="20" style="position:absolute;left:0pt;margin-left:-5.55pt;margin-top:25.1pt;height:0.05pt;width:221.65pt;z-index:251658240;mso-width-relative:page;mso-height-relative:page;" filled="f" stroked="t" coordsize="21600,21600" o:gfxdata="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4sV6TNYAAAAJAQAADwAAAAAAAAABACAAAAAiAAAAZHJzL2Rvd25yZXYueG1s&#10;UEsBAhQAFAAAAAgAh07iQDFqV2/BAQAAcgMAAA4AAAAAAAAAAQAgAAAAJQEAAGRycy9lMm9Eb2Mu&#10;eG1sUEsFBgAAAAAGAAYAWQEAAFgFAAAAAA==&#10;">
                      <v:fill on="f" focussize="0,0"/>
                      <v:stroke weight="2pt" color="#FF0000" joinstyle="round"/>
                      <v:imagedata o:title=""/>
                      <o:lock v:ext="edit" aspectratio="f"/>
                    </v:line>
                  </w:pict>
                </mc:Fallback>
              </mc:AlternateContent>
            </w:r>
            <w:r>
              <w:rPr>
                <w:rFonts w:hint="eastAsia" w:ascii="宋体" w:hAnsi="宋体" w:cs="宋体"/>
                <w:b/>
                <w:bCs/>
                <w:color w:val="FF0000"/>
                <w:sz w:val="36"/>
                <w:szCs w:val="32"/>
              </w:rPr>
              <w:fldChar w:fldCharType="begin"/>
            </w:r>
            <w:r>
              <w:rPr>
                <w:rFonts w:hint="eastAsia" w:ascii="宋体" w:hAnsi="宋体" w:cs="宋体"/>
                <w:b/>
                <w:bCs/>
                <w:color w:val="FF0000"/>
                <w:sz w:val="36"/>
                <w:szCs w:val="32"/>
              </w:rPr>
              <w:instrText xml:space="preserve"> EQ \o\ac(</w:instrText>
            </w:r>
            <w:r>
              <w:rPr>
                <w:rFonts w:hint="eastAsia" w:ascii="宋体" w:hAnsi="宋体" w:cs="宋体"/>
                <w:b/>
                <w:bCs/>
                <w:color w:val="FF0000"/>
                <w:position w:val="-7"/>
                <w:sz w:val="54"/>
                <w:szCs w:val="32"/>
              </w:rPr>
              <w:instrText xml:space="preserve">○</w:instrText>
            </w:r>
            <w:r>
              <w:rPr>
                <w:rFonts w:hint="eastAsia" w:ascii="宋体" w:hAnsi="宋体" w:cs="宋体"/>
                <w:b/>
                <w:bCs/>
                <w:color w:val="FF0000"/>
                <w:sz w:val="36"/>
                <w:szCs w:val="32"/>
              </w:rPr>
              <w:instrText xml:space="preserve">,★)</w:instrText>
            </w:r>
            <w:r>
              <w:rPr>
                <w:rFonts w:hint="eastAsia" w:ascii="宋体" w:hAnsi="宋体" w:cs="宋体"/>
                <w:b/>
                <w:bCs/>
                <w:color w:val="FF0000"/>
                <w:sz w:val="36"/>
                <w:szCs w:val="32"/>
              </w:rPr>
              <w:fldChar w:fldCharType="end"/>
            </w:r>
          </w:p>
        </w:tc>
      </w:tr>
    </w:tbl>
    <w:p>
      <w:pPr>
        <w:autoSpaceDN w:val="0"/>
        <w:adjustRightIn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关于印发《2021年东莞理工学院城市学院</w:t>
      </w:r>
    </w:p>
    <w:p>
      <w:pPr>
        <w:autoSpaceDN w:val="0"/>
        <w:adjustRightInd w:val="0"/>
        <w:spacing w:line="600" w:lineRule="exact"/>
        <w:jc w:val="center"/>
        <w:rPr>
          <w:rFonts w:ascii="方正小标宋简体" w:hAnsi="方正小标宋简体" w:eastAsia="方正小标宋简体" w:cs="方正小标宋简体"/>
          <w:sz w:val="44"/>
          <w:szCs w:val="44"/>
          <w:lang w:val="zh-CN"/>
        </w:rPr>
      </w:pPr>
      <w:r>
        <w:rPr>
          <w:rFonts w:hint="eastAsia" w:ascii="方正小标宋简体" w:hAnsi="方正小标宋简体" w:eastAsia="方正小标宋简体" w:cs="方正小标宋简体"/>
          <w:sz w:val="44"/>
          <w:szCs w:val="44"/>
        </w:rPr>
        <w:t>青马工程“两库”申报与执行工作》</w:t>
      </w:r>
      <w:r>
        <w:rPr>
          <w:rFonts w:hint="eastAsia" w:ascii="方正小标宋简体" w:hAnsi="方正小标宋简体" w:eastAsia="方正小标宋简体" w:cs="方正小标宋简体"/>
          <w:sz w:val="44"/>
          <w:szCs w:val="44"/>
          <w:lang w:val="zh-CN"/>
        </w:rPr>
        <w:t>的通知</w:t>
      </w:r>
    </w:p>
    <w:p>
      <w:pPr>
        <w:autoSpaceDN w:val="0"/>
        <w:adjustRightInd w:val="0"/>
        <w:spacing w:line="600" w:lineRule="exact"/>
        <w:jc w:val="center"/>
        <w:rPr>
          <w:rFonts w:ascii="方正小标宋简体" w:hAnsi="方正小标宋简体" w:eastAsia="方正小标宋简体" w:cs="方正小标宋简体"/>
          <w:sz w:val="44"/>
          <w:szCs w:val="44"/>
          <w:lang w:val="zh-CN"/>
        </w:rPr>
      </w:pPr>
    </w:p>
    <w:p>
      <w:pPr>
        <w:autoSpaceDN w:val="0"/>
        <w:adjustRightInd w:val="0"/>
        <w:spacing w:line="600" w:lineRule="exact"/>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校内各基层团学组织：</w:t>
      </w:r>
    </w:p>
    <w:p>
      <w:pPr>
        <w:spacing w:line="60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为持续推动全校学生干部培养全面、多元发展，校级青马工作小组决定深化改革“校-院”两级的“青马工程”课程化建设工作，旨在集中优势资源，精心筹备课程内容，打造“校级共享课程库”与“院级精品课程库”（以下简称“青马两库”）。现将有关事宜通知如下：</w:t>
      </w:r>
    </w:p>
    <w:p>
      <w:pPr>
        <w:numPr>
          <w:ilvl w:val="0"/>
          <w:numId w:val="1"/>
        </w:num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指导思想</w:t>
      </w:r>
    </w:p>
    <w:p>
      <w:pPr>
        <w:spacing w:line="600" w:lineRule="exact"/>
        <w:ind w:firstLine="640" w:firstLineChars="200"/>
        <w:rPr>
          <w:rFonts w:hint="eastAsia" w:ascii="仿宋_GB2312" w:hAnsi="仿宋_GB2312" w:eastAsia="仿宋_GB2312" w:cs="仿宋_GB2312"/>
          <w:color w:val="auto"/>
          <w:sz w:val="32"/>
          <w:szCs w:val="32"/>
        </w:rPr>
        <w:sectPr>
          <w:pgSz w:w="11906" w:h="16838"/>
          <w:pgMar w:top="2098" w:right="1474" w:bottom="1984" w:left="1587" w:header="850" w:footer="1417" w:gutter="0"/>
          <w:pgBorders>
            <w:top w:val="none" w:sz="0" w:space="0"/>
            <w:left w:val="none" w:sz="0" w:space="0"/>
            <w:bottom w:val="none" w:sz="0" w:space="0"/>
            <w:right w:val="none" w:sz="0" w:space="0"/>
          </w:pgBorders>
          <w:pgNumType w:fmt="numberInDash"/>
          <w:cols w:space="0" w:num="1"/>
          <w:rtlGutter w:val="0"/>
          <w:docGrid w:type="lines" w:linePitch="319" w:charSpace="0"/>
        </w:sectPr>
      </w:pPr>
      <w:r>
        <w:rPr>
          <w:rFonts w:hint="eastAsia" w:ascii="仿宋_GB2312" w:hAnsi="仿宋_GB2312" w:eastAsia="仿宋_GB2312" w:cs="仿宋_GB2312"/>
          <w:color w:val="auto"/>
          <w:sz w:val="32"/>
          <w:szCs w:val="32"/>
        </w:rPr>
        <w:t>深入学习贯彻习近平新时代中国特色社会主义思想和习近平总书记重要讲话精神，认真贯彻落实习近平总书记关于青年工作的重要思想，努力为党输送新鲜血液、培养青年政治骨干。 深化“灯塔工程”广东青年大学生思想引领行动和青年马克思主义</w:t>
      </w:r>
    </w:p>
    <w:p>
      <w:pPr>
        <w:spacing w:line="600" w:lineRule="exact"/>
        <w:rPr>
          <w:rFonts w:ascii="仿宋_GB2312" w:hAnsi="仿宋_GB2312" w:eastAsia="仿宋_GB2312" w:cs="仿宋_GB2312"/>
          <w:sz w:val="32"/>
          <w:szCs w:val="32"/>
        </w:rPr>
      </w:pPr>
      <w:r>
        <w:rPr>
          <w:rFonts w:hint="eastAsia" w:ascii="仿宋_GB2312" w:hAnsi="仿宋_GB2312" w:eastAsia="仿宋_GB2312" w:cs="仿宋_GB2312"/>
          <w:color w:val="auto"/>
          <w:sz w:val="32"/>
          <w:szCs w:val="32"/>
        </w:rPr>
        <w:t>者培养工程，突出理想</w:t>
      </w:r>
      <w:bookmarkStart w:id="1" w:name="_GoBack"/>
      <w:bookmarkEnd w:id="1"/>
      <w:r>
        <w:rPr>
          <w:rFonts w:hint="eastAsia" w:ascii="仿宋_GB2312" w:hAnsi="仿宋_GB2312" w:eastAsia="仿宋_GB2312" w:cs="仿宋_GB2312"/>
          <w:color w:val="auto"/>
          <w:sz w:val="32"/>
          <w:szCs w:val="32"/>
        </w:rPr>
        <w:t>信念教育，注重实践导向，培养一批有信仰、讲政治、重品德、守纪律、肯奉献、争先锋的青年马克思主义者</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通过</w:t>
      </w:r>
      <w:r>
        <w:rPr>
          <w:rFonts w:hint="eastAsia" w:ascii="仿宋_GB2312" w:hAnsi="仿宋_GB2312" w:eastAsia="仿宋_GB2312" w:cs="仿宋_GB2312"/>
          <w:b/>
          <w:sz w:val="32"/>
          <w:szCs w:val="32"/>
        </w:rPr>
        <w:t>教育培训（集训营阶段）</w:t>
      </w:r>
      <w:r>
        <w:rPr>
          <w:rFonts w:hint="eastAsia" w:ascii="仿宋_GB2312" w:hAnsi="仿宋_GB2312" w:eastAsia="仿宋_GB2312" w:cs="仿宋_GB2312"/>
          <w:sz w:val="32"/>
          <w:szCs w:val="32"/>
        </w:rPr>
        <w:t>和</w:t>
      </w:r>
      <w:r>
        <w:rPr>
          <w:rFonts w:hint="eastAsia" w:ascii="仿宋_GB2312" w:hAnsi="仿宋_GB2312" w:eastAsia="仿宋_GB2312" w:cs="仿宋_GB2312"/>
          <w:b/>
          <w:sz w:val="32"/>
          <w:szCs w:val="32"/>
        </w:rPr>
        <w:t>实践锻炼（后续跟踪培养阶段）</w:t>
      </w:r>
      <w:r>
        <w:rPr>
          <w:rFonts w:hint="eastAsia" w:ascii="仿宋_GB2312" w:hAnsi="仿宋_GB2312" w:eastAsia="仿宋_GB2312" w:cs="仿宋_GB2312"/>
          <w:sz w:val="32"/>
          <w:szCs w:val="32"/>
        </w:rPr>
        <w:t>等行之有效的方式，增强引导大学生工作的针对性和实效性，同时结合我校的“校-院”两级学生骨干能力水平与工作特点实际，引领广大青年学生骨干为我校争创全省独立学院 “青马工程”学生干部菁英培育模式示范基地勇当先锋。</w:t>
      </w:r>
    </w:p>
    <w:p>
      <w:pPr>
        <w:numPr>
          <w:ilvl w:val="0"/>
          <w:numId w:val="1"/>
        </w:numPr>
        <w:spacing w:line="600" w:lineRule="exact"/>
        <w:ind w:firstLine="640" w:firstLineChars="200"/>
        <w:rPr>
          <w:rFonts w:ascii="黑体" w:hAnsi="黑体" w:eastAsia="黑体" w:cs="黑体"/>
          <w:sz w:val="32"/>
          <w:szCs w:val="32"/>
          <w:lang w:val="zh-TW" w:eastAsia="zh-TW"/>
        </w:rPr>
      </w:pPr>
      <w:r>
        <w:rPr>
          <w:rFonts w:ascii="黑体" w:hAnsi="黑体" w:eastAsia="黑体" w:cs="黑体"/>
          <w:sz w:val="32"/>
          <w:szCs w:val="32"/>
          <w:lang w:val="zh-TW" w:eastAsia="zh-TW"/>
        </w:rPr>
        <w:t>推进步骤</w:t>
      </w:r>
    </w:p>
    <w:p>
      <w:pPr>
        <w:pStyle w:val="9"/>
        <w:framePr w:wrap="auto" w:vAnchor="margin" w:hAnchor="text" w:yAlign="inline"/>
        <w:spacing w:line="600" w:lineRule="exact"/>
        <w:ind w:firstLine="645"/>
        <w:rPr>
          <w:rFonts w:ascii="楷体_GB2312" w:hAnsi="楷体_GB2312" w:eastAsia="PMingLiU" w:cs="楷体_GB2312"/>
          <w:b/>
          <w:bCs/>
          <w:color w:val="auto"/>
          <w:sz w:val="32"/>
          <w:szCs w:val="32"/>
          <w:lang w:val="zh-TW" w:eastAsia="zh-TW"/>
        </w:rPr>
      </w:pPr>
      <w:r>
        <w:rPr>
          <w:rFonts w:hint="eastAsia"/>
          <w:sz w:val="32"/>
          <w:szCs w:val="32"/>
        </w:rPr>
        <w:t>结合前两年工作开展情况的总结，从本年度开始，每年度的申报与执行将分两个学期执行，具体推进步骤与时间节点如下：</w:t>
      </w:r>
    </w:p>
    <w:p>
      <w:pPr>
        <w:pStyle w:val="9"/>
        <w:framePr w:wrap="auto" w:vAnchor="margin" w:hAnchor="text" w:yAlign="inline"/>
        <w:spacing w:line="600" w:lineRule="exact"/>
        <w:ind w:firstLine="645"/>
        <w:rPr>
          <w:rFonts w:hint="eastAsia" w:ascii="楷体_GB2312" w:hAnsi="楷体_GB2312" w:eastAsia="楷体_GB2312" w:cs="楷体_GB2312"/>
          <w:color w:val="auto"/>
          <w:sz w:val="32"/>
          <w:szCs w:val="32"/>
        </w:rPr>
      </w:pPr>
      <w:r>
        <w:rPr>
          <w:rFonts w:hint="eastAsia" w:ascii="楷体_GB2312" w:hAnsi="楷体_GB2312" w:eastAsia="楷体_GB2312" w:cs="楷体_GB2312"/>
          <w:b/>
          <w:bCs/>
          <w:color w:val="auto"/>
          <w:sz w:val="32"/>
          <w:szCs w:val="32"/>
          <w:lang w:val="zh-TW" w:eastAsia="zh-TW"/>
        </w:rPr>
        <w:t>（一）</w:t>
      </w:r>
      <w:r>
        <w:rPr>
          <w:rFonts w:hint="eastAsia" w:ascii="楷体_GB2312" w:hAnsi="楷体_GB2312" w:eastAsia="楷体_GB2312" w:cs="楷体_GB2312"/>
          <w:b/>
          <w:bCs/>
          <w:color w:val="auto"/>
          <w:sz w:val="32"/>
          <w:szCs w:val="32"/>
          <w:lang w:val="zh-CN"/>
        </w:rPr>
        <w:t>宣传</w:t>
      </w:r>
      <w:r>
        <w:rPr>
          <w:rFonts w:hint="eastAsia" w:ascii="楷体_GB2312" w:hAnsi="楷体_GB2312" w:eastAsia="楷体_GB2312" w:cs="楷体_GB2312"/>
          <w:b/>
          <w:bCs/>
          <w:color w:val="auto"/>
          <w:sz w:val="32"/>
          <w:szCs w:val="32"/>
          <w:lang w:val="zh-TW" w:eastAsia="zh-TW"/>
        </w:rPr>
        <w:t>动员</w:t>
      </w:r>
      <w:r>
        <w:rPr>
          <w:rFonts w:hint="eastAsia" w:ascii="楷体_GB2312" w:hAnsi="楷体_GB2312" w:eastAsia="楷体_GB2312" w:cs="楷体_GB2312"/>
          <w:b/>
          <w:bCs/>
          <w:color w:val="auto"/>
          <w:sz w:val="32"/>
          <w:szCs w:val="32"/>
        </w:rPr>
        <w:t>与申报</w:t>
      </w:r>
      <w:r>
        <w:rPr>
          <w:rFonts w:hint="eastAsia" w:ascii="楷体_GB2312" w:hAnsi="楷体_GB2312" w:eastAsia="楷体_GB2312" w:cs="楷体_GB2312"/>
          <w:b/>
          <w:bCs/>
          <w:color w:val="auto"/>
          <w:sz w:val="32"/>
          <w:szCs w:val="32"/>
          <w:lang w:val="zh-TW" w:eastAsia="zh-TW"/>
        </w:rPr>
        <w:t>（</w:t>
      </w:r>
      <w:r>
        <w:rPr>
          <w:rFonts w:hint="eastAsia" w:ascii="楷体_GB2312" w:hAnsi="楷体_GB2312" w:eastAsia="楷体_GB2312" w:cs="楷体_GB2312"/>
          <w:b/>
          <w:bCs/>
          <w:color w:val="auto"/>
          <w:sz w:val="32"/>
          <w:szCs w:val="32"/>
        </w:rPr>
        <w:t>2020年12</w:t>
      </w:r>
      <w:r>
        <w:rPr>
          <w:rFonts w:hint="eastAsia" w:ascii="楷体_GB2312" w:hAnsi="楷体_GB2312" w:eastAsia="楷体_GB2312" w:cs="楷体_GB2312"/>
          <w:b/>
          <w:bCs/>
          <w:color w:val="auto"/>
          <w:sz w:val="32"/>
          <w:szCs w:val="32"/>
          <w:lang w:val="zh-TW" w:eastAsia="zh-TW"/>
        </w:rPr>
        <w:t>月</w:t>
      </w:r>
      <w:r>
        <w:rPr>
          <w:rFonts w:hint="eastAsia" w:ascii="楷体_GB2312" w:hAnsi="楷体_GB2312" w:eastAsia="楷体_GB2312" w:cs="楷体_GB2312"/>
          <w:b/>
          <w:bCs/>
          <w:color w:val="auto"/>
          <w:sz w:val="32"/>
          <w:szCs w:val="32"/>
        </w:rPr>
        <w:t>1</w:t>
      </w:r>
      <w:r>
        <w:rPr>
          <w:rFonts w:hint="eastAsia" w:ascii="楷体_GB2312" w:hAnsi="楷体_GB2312" w:eastAsia="楷体_GB2312" w:cs="楷体_GB2312"/>
          <w:b/>
          <w:bCs/>
          <w:color w:val="auto"/>
          <w:sz w:val="32"/>
          <w:szCs w:val="32"/>
          <w:lang w:val="zh-TW" w:eastAsia="zh-TW"/>
        </w:rPr>
        <w:t>日</w:t>
      </w:r>
      <w:r>
        <w:rPr>
          <w:rFonts w:hint="eastAsia" w:ascii="楷体_GB2312" w:hAnsi="楷体_GB2312" w:eastAsia="楷体_GB2312" w:cs="楷体_GB2312"/>
          <w:b/>
          <w:bCs/>
          <w:color w:val="auto"/>
          <w:sz w:val="32"/>
          <w:szCs w:val="32"/>
        </w:rPr>
        <w:t>—2020年12</w:t>
      </w:r>
      <w:r>
        <w:rPr>
          <w:rFonts w:hint="eastAsia" w:ascii="楷体_GB2312" w:hAnsi="楷体_GB2312" w:eastAsia="楷体_GB2312" w:cs="楷体_GB2312"/>
          <w:b/>
          <w:bCs/>
          <w:color w:val="auto"/>
          <w:sz w:val="32"/>
          <w:szCs w:val="32"/>
          <w:lang w:val="zh-TW" w:eastAsia="zh-TW"/>
        </w:rPr>
        <w:t>月</w:t>
      </w:r>
      <w:r>
        <w:rPr>
          <w:rFonts w:hint="eastAsia" w:ascii="楷体_GB2312" w:hAnsi="楷体_GB2312" w:eastAsia="楷体_GB2312" w:cs="楷体_GB2312"/>
          <w:b/>
          <w:bCs/>
          <w:color w:val="auto"/>
          <w:sz w:val="32"/>
          <w:szCs w:val="32"/>
          <w:lang w:val="en-US" w:eastAsia="zh-CN"/>
        </w:rPr>
        <w:t>9</w:t>
      </w:r>
      <w:r>
        <w:rPr>
          <w:rFonts w:hint="eastAsia" w:ascii="楷体_GB2312" w:hAnsi="楷体_GB2312" w:eastAsia="楷体_GB2312" w:cs="楷体_GB2312"/>
          <w:b/>
          <w:bCs/>
          <w:color w:val="auto"/>
          <w:sz w:val="32"/>
          <w:szCs w:val="32"/>
          <w:lang w:val="zh-TW" w:eastAsia="zh-TW"/>
        </w:rPr>
        <w:t>日</w:t>
      </w:r>
      <w:r>
        <w:rPr>
          <w:rFonts w:hint="eastAsia" w:ascii="楷体_GB2312" w:hAnsi="楷体_GB2312" w:eastAsia="楷体_GB2312" w:cs="楷体_GB2312"/>
          <w:b/>
          <w:bCs/>
          <w:color w:val="auto"/>
          <w:sz w:val="32"/>
          <w:szCs w:val="32"/>
          <w:lang w:val="zh-TW"/>
        </w:rPr>
        <w:t>，</w:t>
      </w:r>
      <w:r>
        <w:rPr>
          <w:rFonts w:hint="eastAsia" w:ascii="楷体_GB2312" w:hAnsi="楷体_GB2312" w:eastAsia="楷体_GB2312" w:cs="楷体_GB2312"/>
          <w:b/>
          <w:bCs/>
          <w:color w:val="auto"/>
          <w:sz w:val="32"/>
          <w:szCs w:val="32"/>
        </w:rPr>
        <w:t>2021年6月上旬</w:t>
      </w:r>
      <w:r>
        <w:rPr>
          <w:rFonts w:hint="eastAsia" w:ascii="楷体_GB2312" w:hAnsi="楷体_GB2312" w:eastAsia="楷体_GB2312" w:cs="楷体_GB2312"/>
          <w:b/>
          <w:bCs/>
          <w:color w:val="auto"/>
          <w:sz w:val="32"/>
          <w:szCs w:val="32"/>
          <w:lang w:val="zh-TW" w:eastAsia="zh-TW"/>
        </w:rPr>
        <w:t>）</w:t>
      </w:r>
    </w:p>
    <w:p>
      <w:pPr>
        <w:pStyle w:val="9"/>
        <w:framePr w:wrap="auto" w:vAnchor="margin" w:hAnchor="text" w:yAlign="inline"/>
        <w:spacing w:line="600" w:lineRule="exact"/>
        <w:ind w:firstLine="640" w:firstLineChars="200"/>
        <w:rPr>
          <w:rFonts w:asciiTheme="minorEastAsia" w:hAnsiTheme="minorEastAsia" w:eastAsiaTheme="minorEastAsia"/>
          <w:color w:val="000000" w:themeColor="text1"/>
          <w:sz w:val="32"/>
          <w:szCs w:val="32"/>
          <w14:textFill>
            <w14:solidFill>
              <w14:schemeClr w14:val="tx1"/>
            </w14:solidFill>
          </w14:textFill>
        </w:rPr>
      </w:pPr>
      <w:r>
        <w:rPr>
          <w:rFonts w:hint="eastAsia"/>
          <w:color w:val="000000" w:themeColor="text1"/>
          <w:sz w:val="32"/>
          <w:szCs w:val="32"/>
          <w:lang w:val="zh-TW" w:eastAsia="zh-TW"/>
          <w14:textFill>
            <w14:solidFill>
              <w14:schemeClr w14:val="tx1"/>
            </w14:solidFill>
          </w14:textFill>
        </w:rPr>
        <w:t>在</w:t>
      </w:r>
      <w:r>
        <w:rPr>
          <w:rFonts w:hint="eastAsia"/>
          <w:color w:val="000000" w:themeColor="text1"/>
          <w:sz w:val="32"/>
          <w:szCs w:val="32"/>
          <w14:textFill>
            <w14:solidFill>
              <w14:schemeClr w14:val="tx1"/>
            </w14:solidFill>
          </w14:textFill>
        </w:rPr>
        <w:t>校</w:t>
      </w:r>
      <w:r>
        <w:rPr>
          <w:rFonts w:hint="eastAsia"/>
          <w:color w:val="000000" w:themeColor="text1"/>
          <w:sz w:val="32"/>
          <w:szCs w:val="32"/>
          <w:lang w:val="zh-TW" w:eastAsia="zh-TW"/>
          <w14:textFill>
            <w14:solidFill>
              <w14:schemeClr w14:val="tx1"/>
            </w14:solidFill>
          </w14:textFill>
        </w:rPr>
        <w:t>团委的统一工作部署下，</w:t>
      </w:r>
      <w:r>
        <w:rPr>
          <w:color w:val="000000" w:themeColor="text1"/>
          <w:sz w:val="32"/>
          <w:szCs w:val="32"/>
          <w:lang w:val="zh-TW" w:eastAsia="zh-TW"/>
          <w14:textFill>
            <w14:solidFill>
              <w14:schemeClr w14:val="tx1"/>
            </w14:solidFill>
          </w14:textFill>
        </w:rPr>
        <w:t>各</w:t>
      </w:r>
      <w:r>
        <w:rPr>
          <w:rFonts w:hint="eastAsia"/>
          <w:color w:val="000000" w:themeColor="text1"/>
          <w:sz w:val="32"/>
          <w:szCs w:val="32"/>
          <w14:textFill>
            <w14:solidFill>
              <w14:schemeClr w14:val="tx1"/>
            </w14:solidFill>
          </w14:textFill>
        </w:rPr>
        <w:t>单位</w:t>
      </w:r>
      <w:r>
        <w:rPr>
          <w:color w:val="000000" w:themeColor="text1"/>
          <w:sz w:val="32"/>
          <w:szCs w:val="32"/>
          <w:lang w:val="zh-TW" w:eastAsia="zh-TW"/>
          <w14:textFill>
            <w14:solidFill>
              <w14:schemeClr w14:val="tx1"/>
            </w14:solidFill>
          </w14:textFill>
        </w:rPr>
        <w:t>结合</w:t>
      </w:r>
      <w:r>
        <w:rPr>
          <w:rFonts w:hint="eastAsia"/>
          <w:color w:val="000000" w:themeColor="text1"/>
          <w:sz w:val="32"/>
          <w:szCs w:val="32"/>
          <w14:textFill>
            <w14:solidFill>
              <w14:schemeClr w14:val="tx1"/>
            </w14:solidFill>
          </w14:textFill>
        </w:rPr>
        <w:t>自身</w:t>
      </w:r>
      <w:r>
        <w:rPr>
          <w:color w:val="000000" w:themeColor="text1"/>
          <w:sz w:val="32"/>
          <w:szCs w:val="32"/>
          <w:lang w:val="zh-TW" w:eastAsia="zh-TW"/>
          <w14:textFill>
            <w14:solidFill>
              <w14:schemeClr w14:val="tx1"/>
            </w14:solidFill>
          </w14:textFill>
        </w:rPr>
        <w:t>工作与专业实际，</w:t>
      </w:r>
      <w:r>
        <w:rPr>
          <w:rFonts w:hint="eastAsia"/>
          <w:color w:val="000000" w:themeColor="text1"/>
          <w:sz w:val="32"/>
          <w:szCs w:val="32"/>
          <w14:textFill>
            <w14:solidFill>
              <w14:schemeClr w14:val="tx1"/>
            </w14:solidFill>
          </w14:textFill>
        </w:rPr>
        <w:t>善于捕捉新时代的青年骨干典型现象，发现青年骨干成长过程中面临的突出问题和工作中亟需解决的牵动性、瓶颈性矛盾，大处着眼，小处着手，力争提出具有一定前瞻性和创新性的选题，</w:t>
      </w:r>
      <w:r>
        <w:rPr>
          <w:rFonts w:hint="eastAsia"/>
          <w:color w:val="000000" w:themeColor="text1"/>
          <w:sz w:val="32"/>
          <w:szCs w:val="32"/>
          <w:lang w:val="zh-TW" w:eastAsia="zh-TW"/>
          <w14:textFill>
            <w14:solidFill>
              <w14:schemeClr w14:val="tx1"/>
            </w14:solidFill>
          </w14:textFill>
        </w:rPr>
        <w:t>并</w:t>
      </w:r>
      <w:r>
        <w:rPr>
          <w:rFonts w:hint="eastAsia"/>
          <w:color w:val="000000" w:themeColor="text1"/>
          <w:sz w:val="32"/>
          <w:szCs w:val="32"/>
          <w:lang w:val="zh-TW"/>
          <w14:textFill>
            <w14:solidFill>
              <w14:schemeClr w14:val="tx1"/>
            </w14:solidFill>
          </w14:textFill>
        </w:rPr>
        <w:t>按照《青马工程“两库”课程申报指南》（详见附件1）进行动员与课程申报。各单位根据《2</w:t>
      </w:r>
      <w:r>
        <w:rPr>
          <w:color w:val="000000" w:themeColor="text1"/>
          <w:sz w:val="32"/>
          <w:szCs w:val="32"/>
          <w:lang w:val="zh-TW"/>
          <w14:textFill>
            <w14:solidFill>
              <w14:schemeClr w14:val="tx1"/>
            </w14:solidFill>
          </w14:textFill>
        </w:rPr>
        <w:t>01</w:t>
      </w:r>
      <w:r>
        <w:rPr>
          <w:rFonts w:hint="eastAsia"/>
          <w:color w:val="000000" w:themeColor="text1"/>
          <w:sz w:val="32"/>
          <w:szCs w:val="32"/>
          <w14:textFill>
            <w14:solidFill>
              <w14:schemeClr w14:val="tx1"/>
            </w14:solidFill>
          </w14:textFill>
        </w:rPr>
        <w:t>9</w:t>
      </w:r>
      <w:r>
        <w:rPr>
          <w:rFonts w:hint="eastAsia"/>
          <w:color w:val="000000" w:themeColor="text1"/>
          <w:sz w:val="32"/>
          <w:szCs w:val="32"/>
          <w:lang w:val="zh-TW"/>
          <w14:textFill>
            <w14:solidFill>
              <w14:schemeClr w14:val="tx1"/>
            </w14:solidFill>
          </w14:textFill>
        </w:rPr>
        <w:t>年青马“两库”高评高选课程(校享)》(详见附件5)，对于本单位高评高选课程与授课老师协商确认最新课程开展时间后，填写</w:t>
      </w:r>
      <w:r>
        <w:rPr>
          <w:color w:val="000000" w:themeColor="text1"/>
          <w:sz w:val="32"/>
          <w:szCs w:val="32"/>
          <w:lang w:val="zh-TW"/>
          <w14:textFill>
            <w14:solidFill>
              <w14:schemeClr w14:val="tx1"/>
            </w14:solidFill>
          </w14:textFill>
        </w:rPr>
        <w:t>《青马工程“两库”课程汇总表（附件4）》</w:t>
      </w:r>
      <w:r>
        <w:rPr>
          <w:rFonts w:hint="eastAsia"/>
          <w:color w:val="000000" w:themeColor="text1"/>
          <w:sz w:val="32"/>
          <w:szCs w:val="32"/>
          <w:lang w:val="zh-TW"/>
          <w14:textFill>
            <w14:solidFill>
              <w14:schemeClr w14:val="tx1"/>
            </w14:solidFill>
          </w14:textFill>
        </w:rPr>
        <w:t>，即可直接</w:t>
      </w:r>
      <w:r>
        <w:rPr>
          <w:color w:val="000000" w:themeColor="text1"/>
          <w:sz w:val="32"/>
          <w:szCs w:val="32"/>
          <w:lang w:val="zh-TW"/>
          <w14:textFill>
            <w14:solidFill>
              <w14:schemeClr w14:val="tx1"/>
            </w14:solidFill>
          </w14:textFill>
        </w:rPr>
        <w:t>立项。</w:t>
      </w:r>
    </w:p>
    <w:p>
      <w:pPr>
        <w:pStyle w:val="9"/>
        <w:framePr w:wrap="auto" w:vAnchor="margin" w:hAnchor="text" w:yAlign="inline"/>
        <w:spacing w:line="600" w:lineRule="exact"/>
        <w:ind w:firstLine="643"/>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lang w:val="zh-TW" w:eastAsia="zh-TW"/>
        </w:rPr>
        <w:t>（</w:t>
      </w:r>
      <w:r>
        <w:rPr>
          <w:rFonts w:hint="eastAsia" w:ascii="楷体_GB2312" w:hAnsi="楷体_GB2312" w:eastAsia="楷体_GB2312" w:cs="楷体_GB2312"/>
          <w:b/>
          <w:bCs/>
          <w:color w:val="auto"/>
          <w:sz w:val="32"/>
          <w:szCs w:val="32"/>
          <w:lang w:val="zh-CN" w:eastAsia="zh-TW"/>
        </w:rPr>
        <w:t>二</w:t>
      </w:r>
      <w:r>
        <w:rPr>
          <w:rFonts w:hint="eastAsia" w:ascii="楷体_GB2312" w:hAnsi="楷体_GB2312" w:eastAsia="楷体_GB2312" w:cs="楷体_GB2312"/>
          <w:b/>
          <w:bCs/>
          <w:color w:val="auto"/>
          <w:sz w:val="32"/>
          <w:szCs w:val="32"/>
          <w:lang w:val="zh-TW" w:eastAsia="zh-TW"/>
        </w:rPr>
        <w:t>）</w:t>
      </w:r>
      <w:r>
        <w:rPr>
          <w:rFonts w:hint="eastAsia" w:ascii="楷体_GB2312" w:hAnsi="楷体_GB2312" w:eastAsia="楷体_GB2312" w:cs="楷体_GB2312"/>
          <w:b/>
          <w:bCs/>
          <w:color w:val="auto"/>
          <w:sz w:val="32"/>
          <w:szCs w:val="32"/>
        </w:rPr>
        <w:t>审核与公示</w:t>
      </w:r>
      <w:r>
        <w:rPr>
          <w:rFonts w:hint="eastAsia" w:ascii="楷体_GB2312" w:hAnsi="楷体_GB2312" w:eastAsia="楷体_GB2312" w:cs="楷体_GB2312"/>
          <w:b/>
          <w:bCs/>
          <w:color w:val="auto"/>
          <w:sz w:val="32"/>
          <w:szCs w:val="32"/>
          <w:lang w:val="zh-TW" w:eastAsia="zh-TW"/>
        </w:rPr>
        <w:t>（</w:t>
      </w:r>
      <w:r>
        <w:rPr>
          <w:rFonts w:hint="eastAsia" w:ascii="楷体_GB2312" w:hAnsi="楷体_GB2312" w:eastAsia="楷体_GB2312" w:cs="楷体_GB2312"/>
          <w:b/>
          <w:bCs/>
          <w:color w:val="auto"/>
          <w:sz w:val="32"/>
          <w:szCs w:val="32"/>
        </w:rPr>
        <w:t>2020年12</w:t>
      </w:r>
      <w:r>
        <w:rPr>
          <w:rFonts w:hint="eastAsia" w:ascii="楷体_GB2312" w:hAnsi="楷体_GB2312" w:eastAsia="楷体_GB2312" w:cs="楷体_GB2312"/>
          <w:b/>
          <w:bCs/>
          <w:color w:val="auto"/>
          <w:sz w:val="32"/>
          <w:szCs w:val="32"/>
          <w:lang w:val="zh-TW" w:eastAsia="zh-TW"/>
        </w:rPr>
        <w:t>月</w:t>
      </w:r>
      <w:r>
        <w:rPr>
          <w:rFonts w:hint="eastAsia" w:ascii="楷体_GB2312" w:hAnsi="楷体_GB2312" w:eastAsia="楷体_GB2312" w:cs="楷体_GB2312"/>
          <w:b/>
          <w:bCs/>
          <w:color w:val="auto"/>
          <w:sz w:val="32"/>
          <w:szCs w:val="32"/>
          <w:lang w:val="en-US" w:eastAsia="zh-CN"/>
        </w:rPr>
        <w:t>10</w:t>
      </w:r>
      <w:r>
        <w:rPr>
          <w:rFonts w:hint="eastAsia" w:ascii="楷体_GB2312" w:hAnsi="楷体_GB2312" w:eastAsia="楷体_GB2312" w:cs="楷体_GB2312"/>
          <w:b/>
          <w:bCs/>
          <w:color w:val="auto"/>
          <w:sz w:val="32"/>
          <w:szCs w:val="32"/>
          <w:lang w:val="zh-TW" w:eastAsia="zh-TW"/>
        </w:rPr>
        <w:t>日—</w:t>
      </w:r>
      <w:r>
        <w:rPr>
          <w:rFonts w:hint="eastAsia" w:ascii="楷体_GB2312" w:hAnsi="楷体_GB2312" w:eastAsia="楷体_GB2312" w:cs="楷体_GB2312"/>
          <w:b/>
          <w:bCs/>
          <w:color w:val="auto"/>
          <w:sz w:val="32"/>
          <w:szCs w:val="32"/>
        </w:rPr>
        <w:t>2020年12</w:t>
      </w:r>
      <w:r>
        <w:rPr>
          <w:rFonts w:hint="eastAsia" w:ascii="楷体_GB2312" w:hAnsi="楷体_GB2312" w:eastAsia="楷体_GB2312" w:cs="楷体_GB2312"/>
          <w:b/>
          <w:bCs/>
          <w:color w:val="auto"/>
          <w:sz w:val="32"/>
          <w:szCs w:val="32"/>
          <w:lang w:val="zh-TW" w:eastAsia="zh-TW"/>
        </w:rPr>
        <w:t>月</w:t>
      </w:r>
      <w:r>
        <w:rPr>
          <w:rFonts w:hint="eastAsia" w:ascii="楷体_GB2312" w:hAnsi="楷体_GB2312" w:eastAsia="楷体_GB2312" w:cs="楷体_GB2312"/>
          <w:b/>
          <w:bCs/>
          <w:color w:val="auto"/>
          <w:sz w:val="32"/>
          <w:szCs w:val="32"/>
        </w:rPr>
        <w:t>1</w:t>
      </w:r>
      <w:r>
        <w:rPr>
          <w:rFonts w:hint="eastAsia" w:ascii="楷体_GB2312" w:hAnsi="楷体_GB2312" w:eastAsia="楷体_GB2312" w:cs="楷体_GB2312"/>
          <w:b/>
          <w:bCs/>
          <w:color w:val="auto"/>
          <w:sz w:val="32"/>
          <w:szCs w:val="32"/>
          <w:lang w:val="en-US" w:eastAsia="zh-CN"/>
        </w:rPr>
        <w:t>8</w:t>
      </w:r>
      <w:r>
        <w:rPr>
          <w:rFonts w:hint="eastAsia" w:ascii="楷体_GB2312" w:hAnsi="楷体_GB2312" w:eastAsia="楷体_GB2312" w:cs="楷体_GB2312"/>
          <w:b/>
          <w:bCs/>
          <w:color w:val="auto"/>
          <w:sz w:val="32"/>
          <w:szCs w:val="32"/>
        </w:rPr>
        <w:t>日，2021年6月上旬</w:t>
      </w:r>
      <w:r>
        <w:rPr>
          <w:rFonts w:hint="eastAsia" w:ascii="楷体_GB2312" w:hAnsi="楷体_GB2312" w:eastAsia="楷体_GB2312" w:cs="楷体_GB2312"/>
          <w:b/>
          <w:bCs/>
          <w:color w:val="auto"/>
          <w:sz w:val="32"/>
          <w:szCs w:val="32"/>
          <w:lang w:val="zh-TW" w:eastAsia="zh-TW"/>
        </w:rPr>
        <w:t>）</w:t>
      </w:r>
    </w:p>
    <w:p>
      <w:pPr>
        <w:spacing w:line="600" w:lineRule="exact"/>
        <w:ind w:firstLine="640" w:firstLineChars="200"/>
        <w:rPr>
          <w:rFonts w:hint="eastAsia" w:ascii="仿宋_GB2312" w:hAnsi="仿宋_GB2312" w:eastAsia="PMingLiU" w:cs="仿宋_GB2312"/>
          <w:kern w:val="0"/>
          <w:sz w:val="32"/>
          <w:szCs w:val="32"/>
          <w:u w:color="000000"/>
        </w:rPr>
      </w:pPr>
      <w:r>
        <w:rPr>
          <w:rFonts w:ascii="仿宋_GB2312" w:hAnsi="仿宋_GB2312" w:eastAsia="仿宋_GB2312" w:cs="仿宋_GB2312"/>
          <w:kern w:val="0"/>
          <w:sz w:val="32"/>
          <w:szCs w:val="32"/>
          <w:u w:color="000000"/>
        </w:rPr>
        <w:t>校级青马工作小组对申报课程进行初步筛选并反馈修订意见完善相关资料；</w:t>
      </w:r>
      <w:r>
        <w:rPr>
          <w:rFonts w:hint="eastAsia" w:ascii="仿宋_GB2312" w:hAnsi="仿宋_GB2312" w:eastAsia="仿宋_GB2312" w:cs="仿宋_GB2312"/>
          <w:kern w:val="0"/>
          <w:sz w:val="32"/>
          <w:szCs w:val="32"/>
          <w:u w:color="000000"/>
        </w:rPr>
        <w:t>针对申报课程</w:t>
      </w:r>
      <w:r>
        <w:rPr>
          <w:rFonts w:hint="eastAsia" w:ascii="仿宋_GB2312" w:hAnsi="仿宋_GB2312" w:eastAsia="仿宋_GB2312" w:cs="仿宋_GB2312"/>
          <w:kern w:val="0"/>
          <w:sz w:val="32"/>
          <w:szCs w:val="32"/>
          <w:u w:color="000000"/>
          <w:lang w:val="zh-TW" w:eastAsia="zh-TW"/>
        </w:rPr>
        <w:t>召开“约课沙龙”，通过现场说课共建、共评、共享“校级共享”和“院级精品”课程，各学院须安排团学组织的学生负责人出席，建议团学指导老师出席</w:t>
      </w:r>
      <w:r>
        <w:rPr>
          <w:rFonts w:hint="eastAsia" w:ascii="仿宋_GB2312" w:hAnsi="仿宋_GB2312" w:eastAsia="仿宋_GB2312" w:cs="仿宋_GB2312"/>
          <w:kern w:val="0"/>
          <w:sz w:val="32"/>
          <w:szCs w:val="32"/>
          <w:u w:color="000000"/>
          <w:lang w:val="zh-TW"/>
        </w:rPr>
        <w:t>。校团委根据“校享”课程的约课结果以及对“院精”课程的审核结果最终确定“青马两库”课程，并进行立项公示。</w:t>
      </w:r>
    </w:p>
    <w:p>
      <w:pPr>
        <w:spacing w:line="600" w:lineRule="exact"/>
        <w:ind w:firstLine="643" w:firstLineChars="200"/>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sz w:val="32"/>
          <w:szCs w:val="32"/>
          <w:lang w:val="zh-TW" w:eastAsia="zh-TW"/>
        </w:rPr>
        <w:t>（</w:t>
      </w: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val="zh-TW" w:eastAsia="zh-TW"/>
        </w:rPr>
        <w:t>）组织</w:t>
      </w:r>
      <w:r>
        <w:rPr>
          <w:rFonts w:hint="eastAsia" w:ascii="楷体_GB2312" w:hAnsi="楷体_GB2312" w:eastAsia="楷体_GB2312" w:cs="楷体_GB2312"/>
          <w:b/>
          <w:bCs/>
          <w:sz w:val="32"/>
          <w:szCs w:val="32"/>
        </w:rPr>
        <w:t>与</w:t>
      </w:r>
      <w:r>
        <w:rPr>
          <w:rFonts w:hint="eastAsia" w:ascii="楷体_GB2312" w:hAnsi="楷体_GB2312" w:eastAsia="楷体_GB2312" w:cs="楷体_GB2312"/>
          <w:b/>
          <w:bCs/>
          <w:sz w:val="32"/>
          <w:szCs w:val="32"/>
          <w:lang w:val="zh-TW" w:eastAsia="zh-TW"/>
        </w:rPr>
        <w:t>开展</w:t>
      </w:r>
      <w:r>
        <w:rPr>
          <w:rFonts w:hint="eastAsia" w:ascii="楷体_GB2312" w:hAnsi="楷体_GB2312" w:eastAsia="楷体_GB2312" w:cs="楷体_GB2312"/>
          <w:b/>
          <w:bCs/>
          <w:color w:val="auto"/>
          <w:sz w:val="32"/>
          <w:szCs w:val="32"/>
          <w:lang w:val="zh-TW" w:eastAsia="zh-TW"/>
        </w:rPr>
        <w:t>（</w:t>
      </w:r>
      <w:r>
        <w:rPr>
          <w:rFonts w:hint="eastAsia" w:ascii="楷体_GB2312" w:hAnsi="楷体_GB2312" w:eastAsia="楷体_GB2312" w:cs="楷体_GB2312"/>
          <w:b/>
          <w:bCs/>
          <w:color w:val="auto"/>
          <w:sz w:val="32"/>
          <w:szCs w:val="32"/>
        </w:rPr>
        <w:t>2020年3月</w:t>
      </w:r>
      <w:r>
        <w:rPr>
          <w:rFonts w:hint="eastAsia" w:ascii="楷体_GB2312" w:hAnsi="楷体_GB2312" w:eastAsia="楷体_GB2312" w:cs="楷体_GB2312"/>
          <w:b/>
          <w:bCs/>
          <w:color w:val="auto"/>
          <w:sz w:val="32"/>
          <w:szCs w:val="32"/>
          <w:lang w:val="zh-TW" w:eastAsia="zh-TW"/>
        </w:rPr>
        <w:t>—</w:t>
      </w:r>
      <w:r>
        <w:rPr>
          <w:rFonts w:hint="eastAsia" w:ascii="楷体_GB2312" w:hAnsi="楷体_GB2312" w:eastAsia="楷体_GB2312" w:cs="楷体_GB2312"/>
          <w:b/>
          <w:bCs/>
          <w:color w:val="auto"/>
          <w:sz w:val="32"/>
          <w:szCs w:val="32"/>
        </w:rPr>
        <w:t>2021年6</w:t>
      </w:r>
      <w:r>
        <w:rPr>
          <w:rFonts w:hint="eastAsia" w:ascii="楷体_GB2312" w:hAnsi="楷体_GB2312" w:eastAsia="楷体_GB2312" w:cs="楷体_GB2312"/>
          <w:b/>
          <w:bCs/>
          <w:color w:val="auto"/>
          <w:sz w:val="32"/>
          <w:szCs w:val="32"/>
          <w:lang w:val="zh-TW" w:eastAsia="zh-TW"/>
        </w:rPr>
        <w:t>月</w:t>
      </w:r>
      <w:r>
        <w:rPr>
          <w:rFonts w:hint="eastAsia" w:ascii="楷体_GB2312" w:hAnsi="楷体_GB2312" w:eastAsia="楷体_GB2312" w:cs="楷体_GB2312"/>
          <w:b/>
          <w:bCs/>
          <w:color w:val="auto"/>
          <w:sz w:val="32"/>
          <w:szCs w:val="32"/>
        </w:rPr>
        <w:t>，2021年7月-2021年12月</w:t>
      </w:r>
      <w:r>
        <w:rPr>
          <w:rFonts w:hint="eastAsia" w:ascii="楷体_GB2312" w:hAnsi="楷体_GB2312" w:eastAsia="楷体_GB2312" w:cs="楷体_GB2312"/>
          <w:b/>
          <w:bCs/>
          <w:color w:val="auto"/>
          <w:sz w:val="32"/>
          <w:szCs w:val="32"/>
          <w:lang w:val="zh-TW" w:eastAsia="zh-TW"/>
        </w:rPr>
        <w:t>）</w:t>
      </w:r>
    </w:p>
    <w:p>
      <w:pPr>
        <w:spacing w:line="600" w:lineRule="exact"/>
        <w:ind w:firstLine="640" w:firstLineChars="200"/>
        <w:jc w:val="both"/>
        <w:rPr>
          <w:rFonts w:hint="eastAsia" w:ascii="仿宋_GB2312" w:hAnsi="仿宋_GB2312" w:eastAsia="PMingLiU" w:cs="仿宋_GB2312"/>
          <w:color w:val="000000" w:themeColor="text1"/>
          <w:kern w:val="0"/>
          <w:sz w:val="32"/>
          <w:szCs w:val="32"/>
          <w:u w:color="000000"/>
          <w:lang w:val="zh-TW"/>
          <w14:textFill>
            <w14:solidFill>
              <w14:schemeClr w14:val="tx1"/>
            </w14:solidFill>
          </w14:textFill>
        </w:rPr>
      </w:pPr>
      <w:r>
        <w:rPr>
          <w:rFonts w:hint="eastAsia" w:ascii="仿宋_GB2312" w:hAnsi="仿宋_GB2312" w:eastAsia="仿宋_GB2312" w:cs="仿宋_GB2312"/>
          <w:color w:val="000000" w:themeColor="text1"/>
          <w:kern w:val="0"/>
          <w:sz w:val="32"/>
          <w:szCs w:val="32"/>
          <w:u w:color="000000"/>
          <w:lang w:val="zh-TW" w:eastAsia="zh-TW"/>
          <w14:textFill>
            <w14:solidFill>
              <w14:schemeClr w14:val="tx1"/>
            </w14:solidFill>
          </w14:textFill>
        </w:rPr>
        <w:t>承办单位</w:t>
      </w:r>
      <w:r>
        <w:rPr>
          <w:rFonts w:hint="eastAsia" w:ascii="仿宋_GB2312" w:hAnsi="仿宋_GB2312" w:eastAsia="仿宋_GB2312" w:cs="仿宋_GB2312"/>
          <w:kern w:val="0"/>
          <w:sz w:val="32"/>
          <w:szCs w:val="32"/>
          <w:u w:color="000000"/>
          <w:lang w:val="zh-TW"/>
        </w:rPr>
        <w:t>在</w:t>
      </w:r>
      <w:r>
        <w:rPr>
          <w:rFonts w:hint="eastAsia" w:ascii="仿宋_GB2312" w:hAnsi="仿宋_GB2312" w:eastAsia="仿宋_GB2312" w:cs="仿宋_GB2312"/>
          <w:kern w:val="0"/>
          <w:sz w:val="32"/>
          <w:szCs w:val="32"/>
          <w:u w:color="000000"/>
          <w:lang w:val="zh-TW" w:eastAsia="zh-TW"/>
        </w:rPr>
        <w:t>立项通知下发后即可开展相关课程，并</w:t>
      </w:r>
      <w:r>
        <w:rPr>
          <w:rFonts w:hint="eastAsia" w:ascii="仿宋_GB2312" w:hAnsi="仿宋_GB2312" w:eastAsia="仿宋_GB2312" w:cs="仿宋_GB2312"/>
          <w:color w:val="000000" w:themeColor="text1"/>
          <w:kern w:val="0"/>
          <w:sz w:val="32"/>
          <w:szCs w:val="32"/>
          <w:u w:color="000000"/>
          <w:lang w:val="zh-TW" w:eastAsia="zh-TW"/>
          <w14:textFill>
            <w14:solidFill>
              <w14:schemeClr w14:val="tx1"/>
            </w14:solidFill>
          </w14:textFill>
        </w:rPr>
        <w:t>对入库课程在立项公示一个月内发布宣传推文对课程进行介绍。</w:t>
      </w:r>
      <w:r>
        <w:rPr>
          <w:rFonts w:hint="eastAsia" w:ascii="仿宋_GB2312" w:hAnsi="仿宋_GB2312" w:eastAsia="仿宋_GB2312" w:cs="仿宋_GB2312"/>
          <w:color w:val="000000" w:themeColor="text1"/>
          <w:kern w:val="0"/>
          <w:sz w:val="32"/>
          <w:szCs w:val="32"/>
          <w:u w:color="000000"/>
          <w:lang w:val="zh-TW"/>
          <w14:textFill>
            <w14:solidFill>
              <w14:schemeClr w14:val="tx1"/>
            </w14:solidFill>
          </w14:textFill>
        </w:rPr>
        <w:t>同时</w:t>
      </w:r>
      <w:r>
        <w:rPr>
          <w:rFonts w:hint="eastAsia" w:ascii="仿宋_GB2312" w:hAnsi="仿宋_GB2312" w:eastAsia="仿宋_GB2312" w:cs="仿宋_GB2312"/>
          <w:color w:val="000000" w:themeColor="text1"/>
          <w:kern w:val="0"/>
          <w:sz w:val="32"/>
          <w:szCs w:val="32"/>
          <w:u w:color="000000"/>
          <w:lang w:val="zh-TW" w:eastAsia="zh-TW"/>
          <w14:textFill>
            <w14:solidFill>
              <w14:schemeClr w14:val="tx1"/>
            </w14:solidFill>
          </w14:textFill>
        </w:rPr>
        <w:t>各校级、院级“青马大骨班”在安排实施 “已约课”课程前须对课程教学大纲进行宣传</w:t>
      </w:r>
      <w:r>
        <w:rPr>
          <w:rFonts w:hint="eastAsia" w:ascii="仿宋_GB2312" w:hAnsi="仿宋_GB2312" w:eastAsia="仿宋_GB2312" w:cs="仿宋_GB2312"/>
          <w:color w:val="000000" w:themeColor="text1"/>
          <w:kern w:val="0"/>
          <w:sz w:val="32"/>
          <w:szCs w:val="32"/>
          <w:u w:color="000000"/>
          <w:lang w:val="zh-TW"/>
          <w14:textFill>
            <w14:solidFill>
              <w14:schemeClr w14:val="tx1"/>
            </w14:solidFill>
          </w14:textFill>
        </w:rPr>
        <w:t>。</w:t>
      </w:r>
      <w:r>
        <w:rPr>
          <w:rFonts w:hint="eastAsia" w:ascii="仿宋_GB2312" w:hAnsi="仿宋_GB2312" w:eastAsia="仿宋_GB2312" w:cs="仿宋_GB2312"/>
          <w:color w:val="000000" w:themeColor="text1"/>
          <w:kern w:val="0"/>
          <w:sz w:val="32"/>
          <w:szCs w:val="32"/>
          <w:u w:color="000000"/>
          <w:lang w:val="zh-TW" w:eastAsia="zh-TW"/>
          <w14:textFill>
            <w14:solidFill>
              <w14:schemeClr w14:val="tx1"/>
            </w14:solidFill>
          </w14:textFill>
        </w:rPr>
        <w:t>各</w:t>
      </w:r>
      <w:r>
        <w:rPr>
          <w:rFonts w:hint="eastAsia" w:ascii="仿宋_GB2312" w:hAnsi="仿宋_GB2312" w:eastAsia="仿宋_GB2312" w:cs="仿宋_GB2312"/>
          <w:color w:val="000000" w:themeColor="text1"/>
          <w:kern w:val="0"/>
          <w:sz w:val="32"/>
          <w:szCs w:val="32"/>
          <w:u w:color="000000"/>
          <w:lang w:val="zh-TW"/>
          <w14:textFill>
            <w14:solidFill>
              <w14:schemeClr w14:val="tx1"/>
            </w14:solidFill>
          </w14:textFill>
        </w:rPr>
        <w:t>校级、院级青马工程小组在开展“校级/院级青马大骨班”过程中须对“青马两库”课程与本单位开展的其他课程制定课程评估方案(含评估问卷)；并对课程开展前与开展后所产生的成效评估对比信息进行整理并形成课程成效评估报告；并将课程评估信息向课程实施的老师予以反馈。</w:t>
      </w:r>
    </w:p>
    <w:p>
      <w:pPr>
        <w:pStyle w:val="9"/>
        <w:framePr w:wrap="auto" w:vAnchor="margin" w:hAnchor="text" w:yAlign="inline"/>
        <w:spacing w:line="600" w:lineRule="exact"/>
        <w:ind w:firstLine="643"/>
        <w:rPr>
          <w:rFonts w:hint="eastAsia" w:ascii="楷体_GB2312" w:hAnsi="楷体_GB2312" w:eastAsia="楷体_GB2312" w:cs="楷体_GB2312"/>
          <w:b/>
          <w:bCs/>
          <w:color w:val="FF0000"/>
          <w:sz w:val="32"/>
          <w:szCs w:val="32"/>
          <w:lang w:val="zh-TW" w:eastAsia="zh-TW"/>
        </w:rPr>
      </w:pPr>
      <w:r>
        <w:rPr>
          <w:rFonts w:hint="eastAsia" w:ascii="楷体_GB2312" w:hAnsi="楷体_GB2312" w:eastAsia="楷体_GB2312" w:cs="楷体_GB2312"/>
          <w:b/>
          <w:bCs/>
          <w:color w:val="auto"/>
          <w:sz w:val="32"/>
          <w:szCs w:val="32"/>
          <w:lang w:val="zh-TW" w:eastAsia="zh-TW"/>
        </w:rPr>
        <w:t>（</w:t>
      </w:r>
      <w:r>
        <w:rPr>
          <w:rFonts w:hint="eastAsia" w:ascii="楷体_GB2312" w:hAnsi="楷体_GB2312" w:eastAsia="楷体_GB2312" w:cs="楷体_GB2312"/>
          <w:b/>
          <w:bCs/>
          <w:color w:val="auto"/>
          <w:sz w:val="32"/>
          <w:szCs w:val="32"/>
        </w:rPr>
        <w:t>四</w:t>
      </w:r>
      <w:r>
        <w:rPr>
          <w:rFonts w:hint="eastAsia" w:ascii="楷体_GB2312" w:hAnsi="楷体_GB2312" w:eastAsia="楷体_GB2312" w:cs="楷体_GB2312"/>
          <w:b/>
          <w:bCs/>
          <w:color w:val="auto"/>
          <w:sz w:val="32"/>
          <w:szCs w:val="32"/>
          <w:lang w:val="zh-TW" w:eastAsia="zh-TW"/>
        </w:rPr>
        <w:t>）</w:t>
      </w:r>
      <w:r>
        <w:rPr>
          <w:rFonts w:hint="eastAsia" w:ascii="楷体_GB2312" w:hAnsi="楷体_GB2312" w:eastAsia="楷体_GB2312" w:cs="楷体_GB2312"/>
          <w:b/>
          <w:bCs/>
          <w:color w:val="auto"/>
          <w:sz w:val="32"/>
          <w:szCs w:val="32"/>
          <w:lang w:val="zh-TW"/>
        </w:rPr>
        <w:t>期中</w:t>
      </w:r>
      <w:r>
        <w:rPr>
          <w:rFonts w:hint="eastAsia" w:ascii="楷体_GB2312" w:hAnsi="楷体_GB2312" w:eastAsia="楷体_GB2312" w:cs="楷体_GB2312"/>
          <w:b/>
          <w:bCs/>
          <w:color w:val="auto"/>
          <w:sz w:val="32"/>
          <w:szCs w:val="32"/>
          <w:lang w:val="zh-TW" w:eastAsia="zh-TW"/>
        </w:rPr>
        <w:t>总结与</w:t>
      </w:r>
      <w:r>
        <w:rPr>
          <w:rFonts w:hint="eastAsia" w:ascii="楷体_GB2312" w:hAnsi="楷体_GB2312" w:eastAsia="楷体_GB2312" w:cs="楷体_GB2312"/>
          <w:b/>
          <w:bCs/>
          <w:color w:val="auto"/>
          <w:sz w:val="32"/>
          <w:szCs w:val="32"/>
          <w:lang w:val="zh-TW"/>
        </w:rPr>
        <w:t>评估</w:t>
      </w:r>
      <w:r>
        <w:rPr>
          <w:rFonts w:hint="eastAsia" w:ascii="楷体_GB2312" w:hAnsi="楷体_GB2312" w:eastAsia="楷体_GB2312" w:cs="楷体_GB2312"/>
          <w:b/>
          <w:bCs/>
          <w:color w:val="auto"/>
          <w:sz w:val="32"/>
          <w:szCs w:val="32"/>
          <w:lang w:val="zh-TW" w:eastAsia="zh-TW"/>
        </w:rPr>
        <w:t>（2021年5月底）</w:t>
      </w:r>
    </w:p>
    <w:p>
      <w:pPr>
        <w:pStyle w:val="9"/>
        <w:framePr w:wrap="auto" w:vAnchor="margin" w:hAnchor="text" w:yAlign="inline"/>
        <w:spacing w:line="600" w:lineRule="exact"/>
        <w:ind w:firstLine="643"/>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校级、院级青马工程小组对“校级/院级青马大骨班”的阶段性开展情况、经验和课程成效进行总结（好做法要进行分析、好经验要总结提炼），撰写工作总结报告，最后由各基层学院团总支收集汇总报送至校团委，校团委将组织各院级青马工程小组以及高评高选课程的承办单位进行经验分享。</w:t>
      </w:r>
    </w:p>
    <w:p>
      <w:pPr>
        <w:pStyle w:val="9"/>
        <w:framePr w:wrap="auto" w:vAnchor="margin" w:hAnchor="text" w:yAlign="inline"/>
        <w:spacing w:line="600" w:lineRule="exact"/>
        <w:ind w:firstLine="643"/>
        <w:rPr>
          <w:rFonts w:hint="eastAsia" w:ascii="楷体_GB2312" w:hAnsi="楷体_GB2312" w:eastAsia="楷体_GB2312" w:cs="楷体_GB2312"/>
          <w:b/>
          <w:bCs/>
          <w:color w:val="FF0000"/>
          <w:sz w:val="32"/>
          <w:szCs w:val="32"/>
          <w:lang w:val="zh-TW"/>
        </w:rPr>
      </w:pPr>
      <w:r>
        <w:rPr>
          <w:rFonts w:hint="eastAsia" w:ascii="楷体_GB2312" w:hAnsi="楷体_GB2312" w:eastAsia="楷体_GB2312" w:cs="楷体_GB2312"/>
          <w:b/>
          <w:bCs/>
          <w:color w:val="auto"/>
          <w:sz w:val="32"/>
          <w:szCs w:val="32"/>
          <w:lang w:val="zh-TW"/>
        </w:rPr>
        <w:t>（五）期末总结备案</w:t>
      </w:r>
      <w:r>
        <w:rPr>
          <w:rFonts w:hint="eastAsia" w:ascii="楷体_GB2312" w:hAnsi="楷体_GB2312" w:eastAsia="楷体_GB2312" w:cs="楷体_GB2312"/>
          <w:b/>
          <w:bCs/>
          <w:color w:val="auto"/>
          <w:sz w:val="32"/>
          <w:szCs w:val="32"/>
          <w:lang w:val="zh-TW" w:eastAsia="zh-TW"/>
        </w:rPr>
        <w:t>（2021年12月）</w:t>
      </w:r>
    </w:p>
    <w:p>
      <w:pPr>
        <w:spacing w:line="600" w:lineRule="exact"/>
        <w:ind w:firstLine="640" w:firstLineChars="200"/>
        <w:rPr>
          <w:rFonts w:ascii="仿宋_GB2312" w:hAnsi="仿宋_GB2312" w:eastAsia="仿宋_GB2312" w:cs="仿宋_GB2312"/>
          <w:color w:val="000000" w:themeColor="text1"/>
          <w:kern w:val="0"/>
          <w:sz w:val="32"/>
          <w:szCs w:val="32"/>
          <w:u w:color="000000"/>
          <w14:textFill>
            <w14:solidFill>
              <w14:schemeClr w14:val="tx1"/>
            </w14:solidFill>
          </w14:textFill>
        </w:rPr>
      </w:pPr>
      <w:r>
        <w:rPr>
          <w:rFonts w:hint="eastAsia" w:ascii="仿宋_GB2312" w:hAnsi="仿宋_GB2312" w:eastAsia="仿宋_GB2312" w:cs="仿宋_GB2312"/>
          <w:color w:val="000000" w:themeColor="text1"/>
          <w:kern w:val="0"/>
          <w:sz w:val="32"/>
          <w:szCs w:val="32"/>
          <w:u w:color="000000"/>
          <w14:textFill>
            <w14:solidFill>
              <w14:schemeClr w14:val="tx1"/>
            </w14:solidFill>
          </w14:textFill>
        </w:rPr>
        <w:t>各院级青马工程小组须配合校级青马工作小组收集整理本期“青马两库”的全年课程资料，按时按质提交全年的青马“两库”工作总结报告。</w:t>
      </w:r>
    </w:p>
    <w:p>
      <w:pPr>
        <w:spacing w:line="600" w:lineRule="exact"/>
        <w:ind w:firstLine="640" w:firstLineChars="200"/>
        <w:jc w:val="left"/>
        <w:rPr>
          <w:rFonts w:ascii="黑体" w:hAnsi="黑体" w:eastAsia="黑体" w:cs="黑体"/>
          <w:sz w:val="32"/>
          <w:szCs w:val="32"/>
        </w:rPr>
      </w:pPr>
      <w:r>
        <w:rPr>
          <w:rFonts w:hint="eastAsia" w:ascii="黑体" w:hAnsi="黑体" w:eastAsia="黑体" w:cs="黑体"/>
          <w:sz w:val="32"/>
          <w:szCs w:val="32"/>
        </w:rPr>
        <w:t>三</w:t>
      </w:r>
      <w:r>
        <w:rPr>
          <w:rFonts w:ascii="黑体" w:hAnsi="黑体" w:eastAsia="黑体" w:cs="黑体"/>
          <w:sz w:val="32"/>
          <w:szCs w:val="32"/>
          <w:lang w:val="zh-TW" w:eastAsia="zh-TW"/>
        </w:rPr>
        <w:t>、</w:t>
      </w:r>
      <w:r>
        <w:rPr>
          <w:rFonts w:hint="eastAsia" w:ascii="黑体" w:hAnsi="黑体" w:eastAsia="黑体" w:cs="黑体"/>
          <w:sz w:val="32"/>
          <w:szCs w:val="32"/>
        </w:rPr>
        <w:t>课程申报</w:t>
      </w:r>
    </w:p>
    <w:p>
      <w:pPr>
        <w:spacing w:line="600" w:lineRule="exact"/>
        <w:ind w:firstLine="643" w:firstLineChars="200"/>
        <w:jc w:val="left"/>
        <w:rPr>
          <w:rFonts w:ascii="黑体" w:hAnsi="黑体" w:eastAsia="黑体" w:cs="黑体"/>
          <w:b/>
          <w:bCs/>
          <w:sz w:val="32"/>
          <w:szCs w:val="32"/>
        </w:rPr>
      </w:pPr>
      <w:r>
        <w:rPr>
          <w:rFonts w:hint="eastAsia" w:ascii="楷体_GB2312" w:hAnsi="楷体_GB2312" w:eastAsia="楷体_GB2312" w:cs="楷体_GB2312"/>
          <w:b/>
          <w:bCs/>
          <w:sz w:val="32"/>
          <w:szCs w:val="32"/>
          <w:lang w:val="zh-TW" w:eastAsia="zh-TW"/>
        </w:rPr>
        <w:t>（一）</w:t>
      </w:r>
      <w:r>
        <w:rPr>
          <w:rFonts w:hint="eastAsia" w:ascii="楷体_GB2312" w:hAnsi="楷体_GB2312" w:eastAsia="楷体_GB2312" w:cs="楷体_GB2312"/>
          <w:b/>
          <w:bCs/>
          <w:sz w:val="32"/>
          <w:szCs w:val="32"/>
        </w:rPr>
        <w:t>申报类别</w:t>
      </w:r>
    </w:p>
    <w:p>
      <w:pPr>
        <w:spacing w:line="600" w:lineRule="exact"/>
        <w:ind w:left="640"/>
        <w:rPr>
          <w:rFonts w:ascii="仿宋_GB2312" w:hAnsi="仿宋_GB2312" w:eastAsia="仿宋_GB2312" w:cs="仿宋_GB2312"/>
          <w:color w:val="000000"/>
          <w:kern w:val="0"/>
          <w:sz w:val="32"/>
          <w:szCs w:val="32"/>
          <w:u w:color="000000"/>
        </w:rPr>
      </w:pPr>
      <w:r>
        <w:rPr>
          <w:rFonts w:hint="eastAsia" w:ascii="仿宋_GB2312" w:hAnsi="仿宋_GB2312" w:eastAsia="仿宋_GB2312" w:cs="仿宋_GB2312"/>
          <w:color w:val="000000"/>
          <w:kern w:val="0"/>
          <w:sz w:val="32"/>
          <w:szCs w:val="32"/>
          <w:u w:color="000000"/>
        </w:rPr>
        <w:t>1.院级精品课程</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各单位结合本单位人才培养方案以及自身生源特点，自主开展的青马课程。</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各单位根据《东莞理工学院城市学院青马工程“两库”课程申报指南》（详见附件1），认真研究课程的开展方向和思路。校级青马工作小组将根据《东莞理工学院城市学院青马工程“两库”评选细则》（详见附件2）对课程申报书进行审核，确定院级精品课程立项名单。</w:t>
      </w:r>
    </w:p>
    <w:p>
      <w:pPr>
        <w:spacing w:line="600" w:lineRule="exact"/>
        <w:ind w:left="640"/>
        <w:rPr>
          <w:rFonts w:ascii="仿宋_GB2312" w:hAnsi="仿宋_GB2312" w:eastAsia="仿宋_GB2312" w:cs="仿宋_GB2312"/>
          <w:color w:val="000000"/>
          <w:kern w:val="0"/>
          <w:sz w:val="32"/>
          <w:szCs w:val="32"/>
          <w:u w:color="000000"/>
        </w:rPr>
      </w:pPr>
      <w:r>
        <w:rPr>
          <w:rFonts w:hint="eastAsia" w:ascii="仿宋_GB2312" w:hAnsi="仿宋_GB2312" w:eastAsia="仿宋_GB2312" w:cs="仿宋_GB2312"/>
          <w:color w:val="000000"/>
          <w:kern w:val="0"/>
          <w:sz w:val="32"/>
          <w:szCs w:val="32"/>
          <w:u w:color="000000"/>
        </w:rPr>
        <w:t>2.校级共享课程</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各单位结合本单位资源特点（师资、校友、硬件设备等），并对全校其他学院青马学员通识需求的课程。</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在各单位所申报的课程中，校级青马工作小组根据评选细则以及课程负责人现场说课和采购情况，视其实际公共需求度，确定校级共享课程名单，可供全校教学团队资源共享。</w:t>
      </w:r>
    </w:p>
    <w:p>
      <w:pPr>
        <w:pStyle w:val="9"/>
        <w:framePr w:wrap="auto" w:vAnchor="margin" w:hAnchor="text" w:yAlign="inline"/>
        <w:spacing w:line="600" w:lineRule="exact"/>
        <w:rPr>
          <w:rFonts w:ascii="楷体_GB2312" w:hAnsi="楷体_GB2312" w:eastAsia="楷体_GB2312" w:cs="楷体_GB2312"/>
          <w:b/>
          <w:bCs/>
          <w:sz w:val="32"/>
          <w:szCs w:val="32"/>
        </w:rPr>
      </w:pPr>
      <w:r>
        <w:rPr>
          <w:rFonts w:ascii="黑体" w:hAnsi="黑体" w:eastAsia="黑体" w:cs="黑体"/>
          <w:sz w:val="32"/>
          <w:szCs w:val="32"/>
        </w:rPr>
        <w:t xml:space="preserve">   </w:t>
      </w:r>
      <w:r>
        <w:rPr>
          <w:rFonts w:ascii="楷体_GB2312" w:hAnsi="楷体_GB2312" w:eastAsia="楷体_GB2312" w:cs="楷体_GB2312"/>
          <w:b/>
          <w:bCs/>
          <w:sz w:val="32"/>
          <w:szCs w:val="32"/>
          <w:lang w:val="zh-TW" w:eastAsia="zh-TW"/>
        </w:rPr>
        <w:t>（</w:t>
      </w:r>
      <w:r>
        <w:rPr>
          <w:rFonts w:hint="eastAsia" w:ascii="楷体_GB2312" w:hAnsi="楷体_GB2312" w:eastAsia="楷体_GB2312" w:cs="楷体_GB2312"/>
          <w:b/>
          <w:bCs/>
          <w:sz w:val="32"/>
          <w:szCs w:val="32"/>
          <w:lang w:val="zh-TW"/>
        </w:rPr>
        <w:t>二</w:t>
      </w:r>
      <w:r>
        <w:rPr>
          <w:rFonts w:ascii="楷体_GB2312" w:hAnsi="楷体_GB2312" w:eastAsia="楷体_GB2312" w:cs="楷体_GB2312"/>
          <w:b/>
          <w:bCs/>
          <w:sz w:val="32"/>
          <w:szCs w:val="32"/>
          <w:lang w:val="zh-TW" w:eastAsia="zh-TW"/>
        </w:rPr>
        <w:t>）</w:t>
      </w:r>
      <w:r>
        <w:rPr>
          <w:rFonts w:hint="eastAsia" w:ascii="楷体_GB2312" w:hAnsi="楷体_GB2312" w:eastAsia="楷体_GB2312" w:cs="楷体_GB2312"/>
          <w:b/>
          <w:bCs/>
          <w:sz w:val="32"/>
          <w:szCs w:val="32"/>
        </w:rPr>
        <w:t>课程类别</w:t>
      </w:r>
    </w:p>
    <w:p>
      <w:pPr>
        <w:pStyle w:val="9"/>
        <w:framePr w:wrap="auto" w:vAnchor="margin" w:hAnchor="text" w:yAlign="inline"/>
        <w:spacing w:line="600" w:lineRule="exact"/>
        <w:ind w:firstLine="640"/>
        <w:rPr>
          <w:sz w:val="32"/>
          <w:szCs w:val="32"/>
        </w:rPr>
      </w:pPr>
      <w:r>
        <w:rPr>
          <w:sz w:val="32"/>
          <w:szCs w:val="32"/>
        </w:rPr>
        <w:t>1.</w:t>
      </w:r>
      <w:r>
        <w:rPr>
          <w:rFonts w:hint="eastAsia"/>
          <w:sz w:val="32"/>
          <w:szCs w:val="32"/>
          <w:lang w:val="zh-TW" w:eastAsia="zh-TW"/>
        </w:rPr>
        <w:t>理论学习</w:t>
      </w:r>
      <w:r>
        <w:rPr>
          <w:sz w:val="32"/>
          <w:szCs w:val="32"/>
          <w:lang w:val="zh-TW" w:eastAsia="zh-TW"/>
        </w:rPr>
        <w:t>；</w:t>
      </w:r>
      <w:r>
        <w:rPr>
          <w:sz w:val="32"/>
          <w:szCs w:val="32"/>
        </w:rPr>
        <w:t>2.</w:t>
      </w:r>
      <w:r>
        <w:rPr>
          <w:rFonts w:hint="eastAsia"/>
          <w:sz w:val="32"/>
          <w:szCs w:val="32"/>
          <w:lang w:val="zh-TW" w:eastAsia="zh-TW"/>
        </w:rPr>
        <w:t>社会实践</w:t>
      </w:r>
      <w:r>
        <w:rPr>
          <w:sz w:val="32"/>
          <w:szCs w:val="32"/>
          <w:lang w:val="zh-TW" w:eastAsia="zh-TW"/>
        </w:rPr>
        <w:t>；</w:t>
      </w:r>
      <w:r>
        <w:rPr>
          <w:sz w:val="32"/>
          <w:szCs w:val="32"/>
        </w:rPr>
        <w:t>3.</w:t>
      </w:r>
      <w:r>
        <w:rPr>
          <w:rFonts w:hint="eastAsia"/>
          <w:sz w:val="32"/>
          <w:szCs w:val="32"/>
        </w:rPr>
        <w:t>社会观察</w:t>
      </w:r>
      <w:r>
        <w:rPr>
          <w:sz w:val="32"/>
          <w:szCs w:val="32"/>
          <w:lang w:val="zh-TW" w:eastAsia="zh-TW"/>
        </w:rPr>
        <w:t>；</w:t>
      </w:r>
      <w:r>
        <w:rPr>
          <w:sz w:val="32"/>
          <w:szCs w:val="32"/>
        </w:rPr>
        <w:t>4.</w:t>
      </w:r>
      <w:r>
        <w:rPr>
          <w:rFonts w:hint="eastAsia"/>
          <w:sz w:val="32"/>
          <w:szCs w:val="32"/>
          <w:lang w:val="zh-TW" w:eastAsia="zh-TW"/>
        </w:rPr>
        <w:t>红色教育</w:t>
      </w:r>
      <w:r>
        <w:rPr>
          <w:sz w:val="32"/>
          <w:szCs w:val="32"/>
          <w:lang w:val="zh-TW" w:eastAsia="zh-TW"/>
        </w:rPr>
        <w:t>；</w:t>
      </w:r>
      <w:r>
        <w:rPr>
          <w:sz w:val="32"/>
          <w:szCs w:val="32"/>
        </w:rPr>
        <w:t>5.</w:t>
      </w:r>
      <w:r>
        <w:rPr>
          <w:rFonts w:hint="eastAsia"/>
          <w:sz w:val="32"/>
          <w:szCs w:val="32"/>
        </w:rPr>
        <w:t>能力训练</w:t>
      </w:r>
      <w:r>
        <w:rPr>
          <w:sz w:val="32"/>
          <w:szCs w:val="32"/>
          <w:lang w:val="zh-TW" w:eastAsia="zh-TW"/>
        </w:rPr>
        <w:t>；</w:t>
      </w:r>
      <w:r>
        <w:rPr>
          <w:sz w:val="32"/>
          <w:szCs w:val="32"/>
        </w:rPr>
        <w:t>6.</w:t>
      </w:r>
      <w:r>
        <w:rPr>
          <w:rFonts w:hint="eastAsia"/>
          <w:sz w:val="32"/>
          <w:szCs w:val="32"/>
          <w:lang w:val="zh-TW" w:eastAsia="zh-TW"/>
        </w:rPr>
        <w:t>交流研讨</w:t>
      </w:r>
      <w:r>
        <w:rPr>
          <w:rFonts w:hint="eastAsia"/>
          <w:sz w:val="32"/>
          <w:szCs w:val="32"/>
          <w:lang w:val="zh-TW"/>
        </w:rPr>
        <w:t>。</w:t>
      </w:r>
    </w:p>
    <w:p>
      <w:pPr>
        <w:pStyle w:val="9"/>
        <w:framePr w:wrap="auto" w:vAnchor="margin" w:hAnchor="text" w:yAlign="inline"/>
        <w:spacing w:line="600" w:lineRule="exact"/>
        <w:ind w:firstLine="640" w:firstLineChars="200"/>
        <w:rPr>
          <w:kern w:val="2"/>
          <w:sz w:val="32"/>
          <w:szCs w:val="32"/>
        </w:rPr>
      </w:pPr>
      <w:r>
        <w:rPr>
          <w:kern w:val="2"/>
          <w:sz w:val="32"/>
          <w:szCs w:val="32"/>
        </w:rPr>
        <w:t>《</w:t>
      </w:r>
      <w:r>
        <w:rPr>
          <w:rFonts w:hint="eastAsia"/>
          <w:kern w:val="2"/>
          <w:sz w:val="32"/>
          <w:szCs w:val="32"/>
        </w:rPr>
        <w:t>青马工程“两库”</w:t>
      </w:r>
      <w:r>
        <w:rPr>
          <w:kern w:val="2"/>
          <w:sz w:val="32"/>
          <w:szCs w:val="32"/>
        </w:rPr>
        <w:t>课题指南》</w:t>
      </w:r>
      <w:r>
        <w:rPr>
          <w:rFonts w:hint="eastAsia"/>
          <w:kern w:val="2"/>
          <w:sz w:val="32"/>
          <w:szCs w:val="32"/>
        </w:rPr>
        <w:t>（详见附件1）</w:t>
      </w:r>
      <w:r>
        <w:rPr>
          <w:kern w:val="2"/>
          <w:sz w:val="32"/>
          <w:szCs w:val="32"/>
        </w:rPr>
        <w:t>中所列条目规定了研究范围、方向和重点，并非正式选题，课题组可自定具体的研究题目</w:t>
      </w:r>
      <w:r>
        <w:rPr>
          <w:rFonts w:hint="eastAsia"/>
          <w:kern w:val="2"/>
          <w:sz w:val="32"/>
          <w:szCs w:val="32"/>
        </w:rPr>
        <w:t>，由</w:t>
      </w:r>
      <w:r>
        <w:rPr>
          <w:rFonts w:hint="eastAsia"/>
          <w:sz w:val="32"/>
          <w:szCs w:val="32"/>
        </w:rPr>
        <w:t>校级青马工作小组</w:t>
      </w:r>
      <w:r>
        <w:rPr>
          <w:rFonts w:hint="eastAsia"/>
          <w:sz w:val="32"/>
          <w:szCs w:val="32"/>
          <w:lang w:val="zh-TW" w:eastAsia="zh-TW"/>
        </w:rPr>
        <w:t>审核同意后方可开展</w:t>
      </w:r>
      <w:r>
        <w:rPr>
          <w:rFonts w:hint="eastAsia"/>
          <w:sz w:val="32"/>
          <w:szCs w:val="32"/>
          <w:lang w:val="zh-TW"/>
        </w:rPr>
        <w:t>。</w:t>
      </w:r>
    </w:p>
    <w:p>
      <w:pPr>
        <w:pStyle w:val="9"/>
        <w:framePr w:wrap="auto" w:vAnchor="margin" w:hAnchor="text" w:yAlign="inline"/>
        <w:spacing w:line="60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（三）课程申报对象</w:t>
      </w:r>
    </w:p>
    <w:p>
      <w:pPr>
        <w:pStyle w:val="9"/>
        <w:framePr w:wrap="auto" w:vAnchor="margin" w:hAnchor="text" w:yAlign="inline"/>
        <w:numPr>
          <w:ilvl w:val="0"/>
          <w:numId w:val="2"/>
        </w:numPr>
        <w:spacing w:line="600" w:lineRule="exact"/>
        <w:ind w:firstLine="640" w:firstLineChars="200"/>
        <w:rPr>
          <w:sz w:val="32"/>
          <w:szCs w:val="32"/>
          <w:lang w:eastAsia="zh-TW"/>
        </w:rPr>
      </w:pPr>
      <w:r>
        <w:rPr>
          <w:rFonts w:hint="eastAsia"/>
          <w:sz w:val="32"/>
          <w:szCs w:val="32"/>
        </w:rPr>
        <w:t>全校师生、校友</w:t>
      </w:r>
      <w:r>
        <w:rPr>
          <w:rFonts w:hint="eastAsia"/>
          <w:sz w:val="32"/>
          <w:szCs w:val="32"/>
          <w:lang w:eastAsia="zh-TW"/>
        </w:rPr>
        <w:t>皆可申报</w:t>
      </w:r>
      <w:r>
        <w:rPr>
          <w:rFonts w:hint="eastAsia"/>
          <w:sz w:val="32"/>
          <w:szCs w:val="32"/>
        </w:rPr>
        <w:t>课程。</w:t>
      </w:r>
    </w:p>
    <w:p>
      <w:pPr>
        <w:pStyle w:val="9"/>
        <w:framePr w:wrap="auto" w:vAnchor="margin" w:hAnchor="text" w:yAlign="inline"/>
        <w:numPr>
          <w:ilvl w:val="0"/>
          <w:numId w:val="2"/>
        </w:numPr>
        <w:spacing w:line="600" w:lineRule="exact"/>
        <w:ind w:firstLine="640" w:firstLineChars="200"/>
        <w:rPr>
          <w:sz w:val="32"/>
          <w:szCs w:val="32"/>
          <w:lang w:eastAsia="zh-TW"/>
        </w:rPr>
      </w:pPr>
      <w:r>
        <w:rPr>
          <w:rFonts w:hint="eastAsia"/>
          <w:sz w:val="32"/>
          <w:szCs w:val="32"/>
        </w:rPr>
        <w:t>每个课程组设定课程负责人（只设定1名）与课程组成员，每个申报者作为课程负责人或课程组成员在每学期参与的申报的项目均不能超过两项</w:t>
      </w:r>
      <w:r>
        <w:rPr>
          <w:rFonts w:hint="eastAsia"/>
          <w:sz w:val="32"/>
          <w:szCs w:val="32"/>
          <w:lang w:eastAsia="zh-TW"/>
        </w:rPr>
        <w:t>。</w:t>
      </w:r>
    </w:p>
    <w:p>
      <w:pPr>
        <w:pStyle w:val="9"/>
        <w:framePr w:wrap="auto" w:vAnchor="margin" w:hAnchor="text" w:yAlign="inline"/>
        <w:numPr>
          <w:ilvl w:val="0"/>
          <w:numId w:val="2"/>
        </w:numPr>
        <w:spacing w:line="600" w:lineRule="exact"/>
        <w:ind w:firstLine="640" w:firstLineChars="200"/>
        <w:rPr>
          <w:color w:val="auto"/>
          <w:sz w:val="32"/>
          <w:szCs w:val="32"/>
          <w:lang w:eastAsia="zh-TW"/>
        </w:rPr>
      </w:pPr>
      <w:r>
        <w:rPr>
          <w:rFonts w:hint="eastAsia"/>
          <w:color w:val="auto"/>
          <w:sz w:val="32"/>
          <w:szCs w:val="32"/>
        </w:rPr>
        <w:t>课程负责人</w:t>
      </w:r>
      <w:r>
        <w:rPr>
          <w:rFonts w:hint="eastAsia"/>
          <w:color w:val="auto"/>
          <w:sz w:val="32"/>
          <w:szCs w:val="32"/>
          <w:lang w:eastAsia="zh-TW"/>
        </w:rPr>
        <w:t>申报的</w:t>
      </w:r>
      <w:r>
        <w:rPr>
          <w:rFonts w:hint="eastAsia"/>
          <w:color w:val="auto"/>
          <w:sz w:val="32"/>
          <w:szCs w:val="32"/>
        </w:rPr>
        <w:t>课程</w:t>
      </w:r>
      <w:r>
        <w:rPr>
          <w:rFonts w:hint="eastAsia"/>
          <w:color w:val="auto"/>
          <w:sz w:val="32"/>
          <w:szCs w:val="32"/>
          <w:lang w:eastAsia="zh-TW"/>
        </w:rPr>
        <w:t>应先经所在单位备案、同意，将</w:t>
      </w:r>
      <w:r>
        <w:rPr>
          <w:rFonts w:hint="eastAsia"/>
          <w:color w:val="auto"/>
          <w:sz w:val="32"/>
          <w:szCs w:val="32"/>
        </w:rPr>
        <w:t>课程申报</w:t>
      </w:r>
      <w:r>
        <w:rPr>
          <w:rFonts w:hint="eastAsia"/>
          <w:color w:val="auto"/>
          <w:sz w:val="32"/>
          <w:szCs w:val="32"/>
          <w:lang w:eastAsia="zh-TW"/>
        </w:rPr>
        <w:t>书（</w:t>
      </w:r>
      <w:r>
        <w:rPr>
          <w:rFonts w:hint="eastAsia"/>
          <w:color w:val="auto"/>
          <w:sz w:val="32"/>
          <w:szCs w:val="32"/>
        </w:rPr>
        <w:t>详见</w:t>
      </w:r>
      <w:r>
        <w:rPr>
          <w:rFonts w:hint="eastAsia"/>
          <w:color w:val="auto"/>
          <w:sz w:val="32"/>
          <w:szCs w:val="32"/>
          <w:lang w:eastAsia="zh-TW"/>
        </w:rPr>
        <w:t>附件</w:t>
      </w:r>
      <w:r>
        <w:rPr>
          <w:rFonts w:hint="eastAsia"/>
          <w:color w:val="auto"/>
          <w:sz w:val="32"/>
          <w:szCs w:val="32"/>
        </w:rPr>
        <w:t>3，A4纸双面打印</w:t>
      </w:r>
      <w:r>
        <w:rPr>
          <w:rFonts w:hint="eastAsia"/>
          <w:color w:val="auto"/>
          <w:sz w:val="32"/>
          <w:szCs w:val="32"/>
          <w:lang w:eastAsia="zh-TW"/>
        </w:rPr>
        <w:t>）纸质版加盖单位公章</w:t>
      </w:r>
      <w:r>
        <w:rPr>
          <w:rFonts w:hint="eastAsia"/>
          <w:color w:val="auto"/>
          <w:sz w:val="32"/>
          <w:szCs w:val="32"/>
        </w:rPr>
        <w:t>，由各学院团总支报送至校团委组织部。</w:t>
      </w:r>
      <w:r>
        <w:rPr>
          <w:rFonts w:hint="eastAsia"/>
          <w:color w:val="auto"/>
          <w:sz w:val="32"/>
          <w:szCs w:val="32"/>
          <w:lang w:eastAsia="zh-TW"/>
        </w:rPr>
        <w:t>申报</w:t>
      </w:r>
      <w:r>
        <w:rPr>
          <w:rFonts w:hint="eastAsia"/>
          <w:color w:val="auto"/>
          <w:sz w:val="32"/>
          <w:szCs w:val="32"/>
        </w:rPr>
        <w:t>课程</w:t>
      </w:r>
      <w:r>
        <w:rPr>
          <w:rFonts w:hint="eastAsia"/>
          <w:color w:val="auto"/>
          <w:sz w:val="32"/>
          <w:szCs w:val="32"/>
          <w:lang w:eastAsia="zh-TW"/>
        </w:rPr>
        <w:t>审核合格后，经</w:t>
      </w:r>
      <w:r>
        <w:rPr>
          <w:rFonts w:hint="eastAsia"/>
          <w:color w:val="auto"/>
          <w:sz w:val="32"/>
          <w:szCs w:val="32"/>
        </w:rPr>
        <w:t>校级青马工作小组</w:t>
      </w:r>
      <w:r>
        <w:rPr>
          <w:rFonts w:hint="eastAsia"/>
          <w:color w:val="auto"/>
          <w:sz w:val="32"/>
          <w:szCs w:val="32"/>
          <w:lang w:eastAsia="zh-TW"/>
        </w:rPr>
        <w:t>评审并公示，方可立项</w:t>
      </w:r>
      <w:r>
        <w:rPr>
          <w:rFonts w:hint="eastAsia"/>
          <w:color w:val="auto"/>
          <w:sz w:val="32"/>
          <w:szCs w:val="32"/>
        </w:rPr>
        <w:t>。</w:t>
      </w:r>
    </w:p>
    <w:p>
      <w:pPr>
        <w:pStyle w:val="9"/>
        <w:framePr w:wrap="auto" w:vAnchor="margin" w:hAnchor="text" w:yAlign="inline"/>
        <w:spacing w:line="600" w:lineRule="exact"/>
        <w:rPr>
          <w:rFonts w:ascii="楷体_GB2312" w:hAnsi="楷体_GB2312" w:eastAsia="楷体_GB2312" w:cs="楷体_GB2312"/>
          <w:b/>
          <w:bCs/>
          <w:sz w:val="32"/>
          <w:szCs w:val="32"/>
          <w:lang w:eastAsia="zh-TW"/>
        </w:rPr>
      </w:pPr>
      <w:r>
        <w:rPr>
          <w:rFonts w:ascii="楷体_GB2312" w:hAnsi="楷体_GB2312" w:eastAsia="楷体_GB2312" w:cs="楷体_GB2312"/>
          <w:b/>
          <w:bCs/>
          <w:sz w:val="32"/>
          <w:szCs w:val="32"/>
          <w:lang w:val="zh-TW" w:eastAsia="zh-TW"/>
        </w:rPr>
        <w:t xml:space="preserve">   （</w:t>
      </w:r>
      <w:r>
        <w:rPr>
          <w:rFonts w:hint="eastAsia" w:ascii="楷体_GB2312" w:hAnsi="楷体_GB2312" w:eastAsia="楷体_GB2312" w:cs="楷体_GB2312"/>
          <w:b/>
          <w:bCs/>
          <w:sz w:val="32"/>
          <w:szCs w:val="32"/>
          <w:lang w:val="zh-TW" w:eastAsia="zh-CN"/>
        </w:rPr>
        <w:t>四</w:t>
      </w:r>
      <w:r>
        <w:rPr>
          <w:rFonts w:ascii="楷体_GB2312" w:hAnsi="楷体_GB2312" w:eastAsia="楷体_GB2312" w:cs="楷体_GB2312"/>
          <w:b/>
          <w:bCs/>
          <w:sz w:val="32"/>
          <w:szCs w:val="32"/>
          <w:lang w:val="zh-TW" w:eastAsia="zh-TW"/>
        </w:rPr>
        <w:t>）</w:t>
      </w:r>
      <w:r>
        <w:rPr>
          <w:rFonts w:hint="eastAsia" w:ascii="楷体_GB2312" w:hAnsi="楷体_GB2312" w:eastAsia="楷体_GB2312" w:cs="楷体_GB2312"/>
          <w:b/>
          <w:bCs/>
          <w:sz w:val="32"/>
          <w:szCs w:val="32"/>
        </w:rPr>
        <w:t>申报要求</w:t>
      </w:r>
    </w:p>
    <w:p>
      <w:pPr>
        <w:spacing w:line="360" w:lineRule="auto"/>
        <w:ind w:firstLine="640" w:firstLineChars="200"/>
        <w:jc w:val="both"/>
        <w:rPr>
          <w:sz w:val="24"/>
          <w:szCs w:val="24"/>
        </w:rPr>
      </w:pPr>
      <w:r>
        <w:rPr>
          <w:rFonts w:hint="eastAsia" w:ascii="仿宋_GB2312" w:hAnsi="仿宋_GB2312" w:eastAsia="仿宋_GB2312" w:cs="仿宋_GB2312"/>
          <w:sz w:val="32"/>
          <w:szCs w:val="32"/>
        </w:rPr>
        <w:t>1. 课程要求。课程内容应具有较高的教育教学理论价值，或具有较强的教育教学实践指导意义。每个申报单位申报的所有课程中，“理论学习、红色教育、社会观察”这三项课程的教学课时之和占总教学课时的比例不低于60%。</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2.提交细节与时间要求。</w:t>
      </w:r>
    </w:p>
    <w:p>
      <w:pPr>
        <w:spacing w:line="600" w:lineRule="exact"/>
        <w:ind w:firstLine="643" w:firstLineChars="200"/>
        <w:jc w:val="both"/>
        <w:rPr>
          <w:rFonts w:ascii="仿宋_GB2312" w:hAnsi="仿宋_GB2312" w:eastAsia="仿宋_GB2312" w:cs="仿宋_GB2312"/>
          <w:sz w:val="32"/>
          <w:szCs w:val="32"/>
        </w:rPr>
      </w:pPr>
      <w:r>
        <w:rPr>
          <w:rFonts w:hint="eastAsia" w:ascii="仿宋_GB2312" w:hAnsi="仿宋_GB2312" w:eastAsia="仿宋_GB2312" w:cs="仿宋_GB2312"/>
          <w:b/>
          <w:sz w:val="32"/>
          <w:szCs w:val="32"/>
        </w:rPr>
        <w:t>（1）申报截止时间。</w:t>
      </w:r>
      <w:r>
        <w:rPr>
          <w:rFonts w:hint="eastAsia" w:ascii="仿宋_GB2312" w:hAnsi="仿宋_GB2312" w:eastAsia="仿宋_GB2312" w:cs="仿宋_GB2312"/>
          <w:sz w:val="32"/>
          <w:szCs w:val="32"/>
        </w:rPr>
        <w:t>各单位收集本单位课程申报书并汇总成表，在截止日期（2020年12月9日，2021年6月上旬）12:00前将《青马工程“两库”课程申报书》（附件3）、《青马工程“两库”课程汇总表（附件4）》电子版发至校团委组织部工作邮箱，邮件名称注明“2021‘所在单位’青马工程课程化建设”；申报材料（申报书、汇总表）纸质版一式两份于2020年12月9日16:30-17:30、</w:t>
      </w:r>
      <w:r>
        <w:rPr>
          <w:rFonts w:hint="eastAsia" w:ascii="仿宋_GB2312" w:hAnsi="仿宋_GB2312" w:eastAsia="仿宋_GB2312" w:cs="仿宋_GB2312"/>
          <w:color w:val="auto"/>
          <w:sz w:val="32"/>
          <w:szCs w:val="32"/>
        </w:rPr>
        <w:t>2021年6月上旬</w:t>
      </w:r>
      <w:r>
        <w:rPr>
          <w:rFonts w:hint="eastAsia" w:ascii="仿宋_GB2312" w:hAnsi="仿宋_GB2312" w:eastAsia="仿宋_GB2312" w:cs="仿宋_GB2312"/>
          <w:sz w:val="32"/>
          <w:szCs w:val="32"/>
        </w:rPr>
        <w:t>报送至校团委（大学生活动中心6E318）。</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（2）校级共享课程说课材料上交时间。</w:t>
      </w:r>
      <w:r>
        <w:rPr>
          <w:rFonts w:hint="eastAsia" w:ascii="仿宋_GB2312" w:hAnsi="仿宋_GB2312" w:eastAsia="仿宋_GB2312" w:cs="仿宋_GB2312"/>
          <w:sz w:val="32"/>
          <w:szCs w:val="32"/>
        </w:rPr>
        <w:t>各单位收集本单位经初选入围备选“校级共享课程库”的课程负责人的说课ppt，于2020年12月11日下午12：00前发至校团委组织部工作邮箱，邮件名称注明“2020‘所在单位’青马两库说课材料”。</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（3）</w:t>
      </w: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sz w:val="32"/>
          <w:szCs w:val="32"/>
        </w:rPr>
        <w:t>期中总结与评估截止时间。</w:t>
      </w:r>
      <w:r>
        <w:rPr>
          <w:rFonts w:hint="eastAsia" w:ascii="仿宋_GB2312" w:hAnsi="仿宋_GB2312" w:eastAsia="仿宋_GB2312" w:cs="仿宋_GB2312"/>
          <w:sz w:val="32"/>
          <w:szCs w:val="32"/>
        </w:rPr>
        <w:t>各单位需在规定时间（2021年5月底，具体时间另行通知）内向校团委组织部提交期中总结材料，邮件名称注明“20</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1‘所在单位’青马两库期中总结材料”；纸质版一式两份报送至校团委（大学生活动中心6E318）。</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（4）期末工作总结报告截止时间。</w:t>
      </w:r>
      <w:r>
        <w:rPr>
          <w:rFonts w:hint="eastAsia" w:ascii="仿宋_GB2312" w:hAnsi="仿宋_GB2312" w:eastAsia="仿宋_GB2312" w:cs="仿宋_GB2312"/>
          <w:sz w:val="32"/>
          <w:szCs w:val="32"/>
        </w:rPr>
        <w:t>各单位需在规定时间（2021年12月，具体时间另行通知）内向校团委组织部提交总结材料，邮件名称注明“2021‘所在单位’青马两库工作总结”；纸质版一式两份报送至校团委（大学生活动中心6E318）。</w:t>
      </w:r>
    </w:p>
    <w:p>
      <w:pPr>
        <w:pStyle w:val="9"/>
        <w:framePr w:wrap="auto" w:vAnchor="margin" w:hAnchor="text" w:yAlign="inline"/>
        <w:spacing w:line="600" w:lineRule="exact"/>
        <w:ind w:firstLine="640"/>
        <w:rPr>
          <w:rFonts w:ascii="黑体" w:hAnsi="黑体" w:eastAsia="黑体" w:cs="黑体"/>
          <w:sz w:val="32"/>
          <w:szCs w:val="32"/>
          <w:lang w:val="zh-TW" w:eastAsia="zh-TW"/>
        </w:rPr>
      </w:pPr>
      <w:r>
        <w:rPr>
          <w:rFonts w:hint="eastAsia" w:ascii="黑体" w:hAnsi="黑体" w:eastAsia="黑体" w:cs="黑体"/>
          <w:sz w:val="32"/>
          <w:szCs w:val="32"/>
        </w:rPr>
        <w:t>四</w:t>
      </w:r>
      <w:r>
        <w:rPr>
          <w:rFonts w:ascii="黑体" w:hAnsi="黑体" w:eastAsia="黑体" w:cs="黑体"/>
          <w:sz w:val="32"/>
          <w:szCs w:val="32"/>
          <w:lang w:val="zh-TW" w:eastAsia="zh-TW"/>
        </w:rPr>
        <w:t>、</w:t>
      </w:r>
      <w:r>
        <w:rPr>
          <w:rFonts w:ascii="黑体" w:hAnsi="黑体" w:eastAsia="黑体" w:cs="黑体"/>
          <w:sz w:val="32"/>
          <w:szCs w:val="32"/>
          <w:lang w:val="zh-CN"/>
        </w:rPr>
        <w:t>工作</w:t>
      </w:r>
      <w:r>
        <w:rPr>
          <w:rFonts w:ascii="黑体" w:hAnsi="黑体" w:eastAsia="黑体" w:cs="黑体"/>
          <w:sz w:val="32"/>
          <w:szCs w:val="32"/>
          <w:lang w:val="zh-TW" w:eastAsia="zh-TW"/>
        </w:rPr>
        <w:t>要求</w:t>
      </w:r>
    </w:p>
    <w:p>
      <w:pPr>
        <w:pStyle w:val="9"/>
        <w:framePr w:wrap="auto" w:vAnchor="margin" w:hAnchor="text" w:yAlign="inline"/>
        <w:spacing w:line="600" w:lineRule="exact"/>
        <w:ind w:firstLine="643"/>
        <w:rPr>
          <w:rFonts w:ascii="楷体_GB2312" w:hAnsi="楷体_GB2312" w:eastAsia="楷体_GB2312" w:cs="楷体_GB2312"/>
          <w:b/>
          <w:bCs/>
          <w:sz w:val="32"/>
          <w:szCs w:val="32"/>
          <w:lang w:val="zh-TW" w:eastAsia="zh-TW"/>
        </w:rPr>
      </w:pPr>
      <w:r>
        <w:rPr>
          <w:rFonts w:ascii="楷体_GB2312" w:hAnsi="楷体_GB2312" w:eastAsia="楷体_GB2312" w:cs="楷体_GB2312"/>
          <w:b/>
          <w:bCs/>
          <w:sz w:val="32"/>
          <w:szCs w:val="32"/>
          <w:lang w:val="zh-TW" w:eastAsia="zh-TW"/>
        </w:rPr>
        <w:t>（一）加强组织，认真指导。</w:t>
      </w:r>
    </w:p>
    <w:p>
      <w:pPr>
        <w:spacing w:line="600" w:lineRule="exact"/>
        <w:ind w:firstLine="640" w:firstLineChars="200"/>
        <w:rPr>
          <w:rFonts w:ascii="仿宋_GB2312" w:hAnsi="仿宋_GB2312" w:eastAsia="仿宋_GB2312" w:cs="仿宋_GB2312"/>
          <w:sz w:val="32"/>
          <w:szCs w:val="32"/>
          <w:lang w:val="zh-TW" w:eastAsia="zh-TW"/>
        </w:rPr>
      </w:pPr>
      <w:r>
        <w:rPr>
          <w:rFonts w:hint="eastAsia" w:ascii="仿宋_GB2312" w:hAnsi="仿宋_GB2312" w:eastAsia="仿宋_GB2312" w:cs="仿宋_GB2312"/>
          <w:sz w:val="32"/>
          <w:szCs w:val="32"/>
        </w:rPr>
        <w:t>各单位要高度重视申报工作，主动配合，密切联动，积极参与申报，深入推进思想引导工作，根据自身优势特点，科学规划，精心设计，力求多出精品。</w:t>
      </w:r>
    </w:p>
    <w:p>
      <w:pPr>
        <w:pStyle w:val="9"/>
        <w:framePr w:wrap="auto" w:vAnchor="margin" w:hAnchor="text" w:yAlign="inline"/>
        <w:spacing w:line="600" w:lineRule="exact"/>
        <w:ind w:firstLine="643"/>
        <w:rPr>
          <w:rFonts w:ascii="楷体_GB2312" w:hAnsi="楷体_GB2312" w:eastAsia="楷体_GB2312" w:cs="楷体_GB2312"/>
          <w:b/>
          <w:bCs/>
          <w:sz w:val="32"/>
          <w:szCs w:val="32"/>
          <w:lang w:val="zh-TW" w:eastAsia="zh-TW"/>
        </w:rPr>
      </w:pPr>
      <w:r>
        <w:rPr>
          <w:rFonts w:ascii="楷体_GB2312" w:hAnsi="楷体_GB2312" w:eastAsia="楷体_GB2312" w:cs="楷体_GB2312"/>
          <w:b/>
          <w:bCs/>
          <w:sz w:val="32"/>
          <w:szCs w:val="32"/>
          <w:lang w:val="zh-TW" w:eastAsia="zh-TW"/>
        </w:rPr>
        <w:t>（二）精简数量，提升质量。</w:t>
      </w:r>
    </w:p>
    <w:p>
      <w:pPr>
        <w:pStyle w:val="9"/>
        <w:framePr w:wrap="auto" w:vAnchor="margin" w:hAnchor="text" w:yAlign="inline"/>
        <w:spacing w:line="600" w:lineRule="exact"/>
        <w:ind w:firstLine="640" w:firstLineChars="200"/>
        <w:rPr>
          <w:sz w:val="32"/>
          <w:szCs w:val="32"/>
          <w:lang w:val="zh-TW" w:eastAsia="zh-TW"/>
        </w:rPr>
      </w:pPr>
      <w:r>
        <w:rPr>
          <w:rFonts w:hint="eastAsia"/>
          <w:sz w:val="32"/>
          <w:szCs w:val="32"/>
          <w:lang w:val="zh-TW" w:eastAsia="zh-TW"/>
        </w:rPr>
        <w:t>坚持</w:t>
      </w:r>
      <w:r>
        <w:rPr>
          <w:rFonts w:hint="eastAsia"/>
          <w:sz w:val="32"/>
          <w:szCs w:val="32"/>
        </w:rPr>
        <w:t>“</w:t>
      </w:r>
      <w:r>
        <w:rPr>
          <w:rFonts w:hint="eastAsia"/>
          <w:sz w:val="32"/>
          <w:szCs w:val="32"/>
          <w:lang w:val="zh-TW" w:eastAsia="zh-TW"/>
        </w:rPr>
        <w:t>提质减量</w:t>
      </w:r>
      <w:r>
        <w:rPr>
          <w:rFonts w:hint="eastAsia"/>
          <w:sz w:val="32"/>
          <w:szCs w:val="32"/>
        </w:rPr>
        <w:t>”</w:t>
      </w:r>
      <w:r>
        <w:rPr>
          <w:rFonts w:hint="eastAsia"/>
          <w:sz w:val="32"/>
          <w:szCs w:val="32"/>
          <w:lang w:val="zh-TW" w:eastAsia="zh-TW"/>
        </w:rPr>
        <w:t>原则，</w:t>
      </w:r>
      <w:r>
        <w:rPr>
          <w:rFonts w:hint="eastAsia"/>
          <w:sz w:val="32"/>
          <w:szCs w:val="32"/>
        </w:rPr>
        <w:t>各单位按《东莞理工学院城市学院青马工程“两库”评选细则》的要求（详见附件2），限报5个培训专题，经审核或说课流程获立项的课程将收录我校本年度“青马两库”并通过发文公示，各课程负责人将获得配套的课酬费用。</w:t>
      </w:r>
    </w:p>
    <w:p>
      <w:pPr>
        <w:pStyle w:val="9"/>
        <w:framePr w:wrap="auto" w:vAnchor="margin" w:hAnchor="text" w:yAlign="inline"/>
        <w:spacing w:line="600" w:lineRule="exact"/>
        <w:ind w:firstLine="643"/>
        <w:rPr>
          <w:rFonts w:ascii="楷体_GB2312" w:hAnsi="楷体_GB2312" w:eastAsia="楷体_GB2312" w:cs="楷体_GB2312"/>
          <w:b/>
          <w:bCs/>
          <w:sz w:val="32"/>
          <w:szCs w:val="32"/>
          <w:lang w:val="zh-TW" w:eastAsia="zh-TW"/>
        </w:rPr>
      </w:pPr>
      <w:r>
        <w:rPr>
          <w:rFonts w:ascii="楷体_GB2312" w:hAnsi="楷体_GB2312" w:eastAsia="楷体_GB2312" w:cs="楷体_GB2312"/>
          <w:b/>
          <w:bCs/>
          <w:sz w:val="32"/>
          <w:szCs w:val="32"/>
          <w:lang w:val="zh-TW" w:eastAsia="zh-TW"/>
        </w:rPr>
        <w:t>（</w:t>
      </w:r>
      <w:r>
        <w:rPr>
          <w:rFonts w:hint="eastAsia" w:ascii="楷体_GB2312" w:hAnsi="楷体_GB2312" w:eastAsia="楷体_GB2312" w:cs="楷体_GB2312"/>
          <w:b/>
          <w:bCs/>
          <w:sz w:val="32"/>
          <w:szCs w:val="32"/>
        </w:rPr>
        <w:t>三</w:t>
      </w:r>
      <w:r>
        <w:rPr>
          <w:rFonts w:ascii="楷体_GB2312" w:hAnsi="楷体_GB2312" w:eastAsia="楷体_GB2312" w:cs="楷体_GB2312"/>
          <w:b/>
          <w:bCs/>
          <w:sz w:val="32"/>
          <w:szCs w:val="32"/>
          <w:lang w:val="zh-TW" w:eastAsia="zh-TW"/>
        </w:rPr>
        <w:t>）加强总结，务求实效。</w:t>
      </w:r>
    </w:p>
    <w:p>
      <w:pPr>
        <w:pStyle w:val="9"/>
        <w:framePr w:wrap="auto" w:vAnchor="margin" w:hAnchor="text" w:yAlign="inline"/>
        <w:spacing w:line="600" w:lineRule="exact"/>
        <w:ind w:firstLine="640" w:firstLineChars="200"/>
        <w:rPr>
          <w:sz w:val="32"/>
          <w:szCs w:val="32"/>
          <w:lang w:val="zh-TW" w:eastAsia="zh-TW"/>
        </w:rPr>
      </w:pPr>
      <w:r>
        <w:rPr>
          <w:rFonts w:hint="eastAsia"/>
          <w:sz w:val="32"/>
          <w:szCs w:val="32"/>
          <w:lang w:val="zh-CN"/>
        </w:rPr>
        <w:t>各</w:t>
      </w:r>
      <w:r>
        <w:rPr>
          <w:rFonts w:hint="eastAsia"/>
          <w:sz w:val="32"/>
          <w:szCs w:val="32"/>
        </w:rPr>
        <w:t>单位</w:t>
      </w:r>
      <w:r>
        <w:rPr>
          <w:rFonts w:hint="eastAsia"/>
          <w:sz w:val="32"/>
          <w:szCs w:val="32"/>
          <w:lang w:val="zh-TW" w:eastAsia="zh-TW"/>
        </w:rPr>
        <w:t>要切实吃透通知精神，明确工作目标，把握重点环节，分阶段认真总结活动开展情况，逐步提升水平，巩固预期成果。</w:t>
      </w:r>
      <w:r>
        <w:rPr>
          <w:rFonts w:hint="eastAsia"/>
          <w:sz w:val="32"/>
          <w:szCs w:val="32"/>
        </w:rPr>
        <w:t>校级青马工作小组</w:t>
      </w:r>
      <w:r>
        <w:rPr>
          <w:rFonts w:hint="eastAsia"/>
          <w:sz w:val="32"/>
          <w:szCs w:val="32"/>
          <w:lang w:val="zh-TW" w:eastAsia="zh-TW"/>
        </w:rPr>
        <w:t>将对各团支部总结材料进行审核评定</w:t>
      </w:r>
      <w:r>
        <w:rPr>
          <w:rFonts w:hint="eastAsia"/>
          <w:sz w:val="32"/>
          <w:szCs w:val="32"/>
          <w:lang w:val="zh-TW"/>
        </w:rPr>
        <w:t>，</w:t>
      </w:r>
      <w:r>
        <w:rPr>
          <w:rFonts w:hint="eastAsia"/>
          <w:sz w:val="32"/>
          <w:szCs w:val="32"/>
          <w:lang w:val="zh-TW" w:eastAsia="zh-TW"/>
        </w:rPr>
        <w:t>课程</w:t>
      </w:r>
      <w:r>
        <w:rPr>
          <w:rFonts w:hint="eastAsia"/>
          <w:sz w:val="32"/>
          <w:szCs w:val="32"/>
          <w:lang w:val="zh-TW"/>
        </w:rPr>
        <w:t>建设与</w:t>
      </w:r>
      <w:r>
        <w:rPr>
          <w:rFonts w:hint="eastAsia"/>
          <w:sz w:val="32"/>
          <w:szCs w:val="32"/>
          <w:lang w:val="zh-TW" w:eastAsia="zh-TW"/>
        </w:rPr>
        <w:t>开展情况</w:t>
      </w:r>
      <w:r>
        <w:rPr>
          <w:rFonts w:hint="eastAsia"/>
          <w:sz w:val="32"/>
          <w:szCs w:val="32"/>
          <w:lang w:val="zh-TW"/>
        </w:rPr>
        <w:t>同时也作为各单位团学工作在青马工程模块对应的考核</w:t>
      </w:r>
      <w:r>
        <w:rPr>
          <w:rFonts w:hint="eastAsia"/>
          <w:sz w:val="32"/>
          <w:szCs w:val="32"/>
          <w:lang w:val="zh-TW" w:eastAsia="zh-TW"/>
        </w:rPr>
        <w:t>依据。</w:t>
      </w:r>
    </w:p>
    <w:p>
      <w:pPr>
        <w:pStyle w:val="9"/>
        <w:framePr w:wrap="auto" w:vAnchor="margin" w:hAnchor="text" w:yAlign="inline"/>
        <w:spacing w:line="600" w:lineRule="exact"/>
        <w:ind w:firstLine="477"/>
        <w:rPr>
          <w:rFonts w:ascii="楷体_GB2312" w:hAnsi="楷体_GB2312" w:eastAsia="楷体_GB2312" w:cs="楷体_GB2312"/>
          <w:b/>
          <w:bCs/>
          <w:sz w:val="32"/>
          <w:szCs w:val="32"/>
          <w:lang w:val="zh-TW" w:eastAsia="zh-TW"/>
        </w:rPr>
      </w:pPr>
      <w:r>
        <w:rPr>
          <w:rFonts w:ascii="楷体_GB2312" w:hAnsi="楷体_GB2312" w:eastAsia="楷体_GB2312" w:cs="楷体_GB2312"/>
          <w:b/>
          <w:bCs/>
          <w:sz w:val="32"/>
          <w:szCs w:val="32"/>
          <w:lang w:val="zh-TW" w:eastAsia="zh-TW"/>
        </w:rPr>
        <w:t>（</w:t>
      </w:r>
      <w:r>
        <w:rPr>
          <w:rFonts w:hint="eastAsia" w:ascii="楷体_GB2312" w:hAnsi="楷体_GB2312" w:eastAsia="楷体_GB2312" w:cs="楷体_GB2312"/>
          <w:b/>
          <w:bCs/>
          <w:sz w:val="32"/>
          <w:szCs w:val="32"/>
        </w:rPr>
        <w:t>四</w:t>
      </w:r>
      <w:r>
        <w:rPr>
          <w:rFonts w:ascii="楷体_GB2312" w:hAnsi="楷体_GB2312" w:eastAsia="楷体_GB2312" w:cs="楷体_GB2312"/>
          <w:b/>
          <w:bCs/>
          <w:sz w:val="32"/>
          <w:szCs w:val="32"/>
          <w:lang w:val="zh-TW" w:eastAsia="zh-TW"/>
        </w:rPr>
        <w:t>）勇于探索，敢于创新。</w:t>
      </w:r>
    </w:p>
    <w:p>
      <w:pPr>
        <w:adjustRightInd w:val="0"/>
        <w:snapToGrid w:val="0"/>
        <w:spacing w:line="600" w:lineRule="exact"/>
        <w:ind w:firstLine="640" w:firstLineChars="200"/>
        <w:rPr>
          <w:rFonts w:hint="eastAsia" w:ascii="仿宋_GB2312" w:hAnsi="仿宋_GB2312" w:eastAsia="仿宋_GB2312" w:cs="仿宋_GB2312"/>
          <w:color w:val="000000"/>
          <w:kern w:val="0"/>
          <w:sz w:val="32"/>
          <w:szCs w:val="32"/>
          <w:u w:color="000000"/>
          <w:lang w:val="zh-TW"/>
        </w:rPr>
        <w:sectPr>
          <w:footerReference r:id="rId3" w:type="default"/>
          <w:pgSz w:w="11906" w:h="16838"/>
          <w:pgMar w:top="2098" w:right="1474" w:bottom="1984" w:left="1587" w:header="850" w:footer="1417" w:gutter="0"/>
          <w:pgBorders>
            <w:top w:val="none" w:sz="0" w:space="0"/>
            <w:left w:val="none" w:sz="0" w:space="0"/>
            <w:bottom w:val="none" w:sz="0" w:space="0"/>
            <w:right w:val="none" w:sz="0" w:space="0"/>
          </w:pgBorders>
          <w:pgNumType w:fmt="numberInDash"/>
          <w:cols w:space="0" w:num="1"/>
          <w:rtlGutter w:val="0"/>
          <w:docGrid w:type="lines" w:linePitch="319" w:charSpace="0"/>
        </w:sectPr>
      </w:pPr>
      <w:r>
        <w:rPr>
          <w:rFonts w:ascii="仿宋_GB2312" w:hAnsi="仿宋_GB2312" w:eastAsia="仿宋_GB2312" w:cs="仿宋_GB2312"/>
          <w:color w:val="000000"/>
          <w:kern w:val="0"/>
          <w:sz w:val="32"/>
          <w:szCs w:val="32"/>
          <w:u w:color="000000"/>
          <w:lang w:val="zh-CN" w:eastAsia="zh-TW"/>
        </w:rPr>
        <w:t>各</w:t>
      </w:r>
      <w:r>
        <w:rPr>
          <w:rFonts w:hint="eastAsia" w:ascii="仿宋_GB2312" w:hAnsi="仿宋_GB2312" w:eastAsia="仿宋_GB2312" w:cs="仿宋_GB2312"/>
          <w:color w:val="000000"/>
          <w:kern w:val="0"/>
          <w:sz w:val="32"/>
          <w:szCs w:val="32"/>
          <w:u w:color="000000"/>
        </w:rPr>
        <w:t>单位</w:t>
      </w:r>
      <w:r>
        <w:rPr>
          <w:rFonts w:ascii="仿宋_GB2312" w:hAnsi="仿宋_GB2312" w:eastAsia="仿宋_GB2312" w:cs="仿宋_GB2312"/>
          <w:color w:val="000000"/>
          <w:kern w:val="0"/>
          <w:sz w:val="32"/>
          <w:szCs w:val="32"/>
          <w:u w:color="000000"/>
          <w:lang w:val="zh-TW" w:eastAsia="zh-TW"/>
        </w:rPr>
        <w:t>要解放思想、大胆探索，积极创造</w:t>
      </w:r>
      <w:r>
        <w:rPr>
          <w:rFonts w:hint="eastAsia" w:ascii="仿宋_GB2312" w:hAnsi="仿宋_GB2312" w:eastAsia="仿宋_GB2312" w:cs="仿宋_GB2312"/>
          <w:color w:val="000000"/>
          <w:kern w:val="0"/>
          <w:sz w:val="32"/>
          <w:szCs w:val="32"/>
          <w:u w:color="000000"/>
        </w:rPr>
        <w:t>思想引导工作的</w:t>
      </w:r>
      <w:r>
        <w:rPr>
          <w:rFonts w:ascii="仿宋_GB2312" w:hAnsi="仿宋_GB2312" w:eastAsia="仿宋_GB2312" w:cs="仿宋_GB2312"/>
          <w:color w:val="000000"/>
          <w:kern w:val="0"/>
          <w:sz w:val="32"/>
          <w:szCs w:val="32"/>
          <w:u w:color="000000"/>
          <w:lang w:val="zh-TW" w:eastAsia="zh-TW"/>
        </w:rPr>
        <w:t>新方式、新办法，要发挥</w:t>
      </w:r>
      <w:r>
        <w:rPr>
          <w:rFonts w:hint="eastAsia" w:ascii="仿宋_GB2312" w:hAnsi="仿宋_GB2312" w:eastAsia="仿宋_GB2312" w:cs="仿宋_GB2312"/>
          <w:color w:val="000000"/>
          <w:kern w:val="0"/>
          <w:sz w:val="32"/>
          <w:szCs w:val="32"/>
          <w:u w:color="000000"/>
          <w:lang w:val="zh-TW"/>
        </w:rPr>
        <w:t>学</w:t>
      </w:r>
      <w:r>
        <w:rPr>
          <w:rFonts w:ascii="仿宋_GB2312" w:hAnsi="仿宋_GB2312" w:eastAsia="仿宋_GB2312" w:cs="仿宋_GB2312"/>
          <w:color w:val="000000"/>
          <w:kern w:val="0"/>
          <w:sz w:val="32"/>
          <w:szCs w:val="32"/>
          <w:u w:color="000000"/>
          <w:lang w:val="zh-TW" w:eastAsia="zh-TW"/>
        </w:rPr>
        <w:t>院的生源特点与资源优势，</w:t>
      </w:r>
      <w:r>
        <w:rPr>
          <w:rFonts w:hint="eastAsia" w:ascii="仿宋_GB2312" w:hAnsi="仿宋_GB2312" w:eastAsia="仿宋_GB2312" w:cs="仿宋_GB2312"/>
          <w:color w:val="000000"/>
          <w:kern w:val="0"/>
          <w:sz w:val="32"/>
          <w:szCs w:val="32"/>
          <w:u w:color="000000"/>
          <w:lang w:val="zh-TW"/>
        </w:rPr>
        <w:t>同时也关注</w:t>
      </w:r>
    </w:p>
    <w:p>
      <w:pPr>
        <w:adjustRightInd w:val="0"/>
        <w:snapToGrid w:val="0"/>
        <w:spacing w:line="600" w:lineRule="exact"/>
        <w:rPr>
          <w:rFonts w:ascii="仿宋_GB2312" w:hAnsi="仿宋_GB2312" w:eastAsia="仿宋_GB2312" w:cs="仿宋_GB2312"/>
          <w:color w:val="000000"/>
          <w:kern w:val="0"/>
          <w:sz w:val="32"/>
          <w:szCs w:val="32"/>
          <w:u w:color="000000"/>
          <w:lang w:val="zh-TW" w:eastAsia="zh-TW"/>
        </w:rPr>
      </w:pPr>
      <w:r>
        <w:rPr>
          <w:rFonts w:hint="eastAsia" w:ascii="仿宋_GB2312" w:hAnsi="仿宋_GB2312" w:eastAsia="仿宋_GB2312" w:cs="仿宋_GB2312"/>
          <w:color w:val="000000"/>
          <w:kern w:val="0"/>
          <w:sz w:val="32"/>
          <w:szCs w:val="32"/>
          <w:u w:color="000000"/>
          <w:lang w:val="zh-TW"/>
        </w:rPr>
        <w:t>学员的后续应用实效，能将学习收获感悟</w:t>
      </w:r>
      <w:r>
        <w:rPr>
          <w:rFonts w:hint="eastAsia" w:ascii="仿宋_GB2312" w:hAnsi="仿宋_GB2312" w:eastAsia="仿宋_GB2312" w:cs="仿宋_GB2312"/>
          <w:color w:val="000000"/>
          <w:kern w:val="0"/>
          <w:sz w:val="32"/>
          <w:szCs w:val="32"/>
          <w:u w:color="000000"/>
          <w:lang w:val="zh-TW" w:eastAsia="zh-TW"/>
        </w:rPr>
        <w:t>融入到</w:t>
      </w:r>
      <w:r>
        <w:rPr>
          <w:rFonts w:hint="eastAsia" w:ascii="仿宋_GB2312" w:hAnsi="仿宋_GB2312" w:eastAsia="仿宋_GB2312" w:cs="仿宋_GB2312"/>
          <w:color w:val="000000"/>
          <w:kern w:val="0"/>
          <w:sz w:val="32"/>
          <w:szCs w:val="32"/>
          <w:u w:color="000000"/>
          <w:lang w:val="zh-TW"/>
        </w:rPr>
        <w:t>其</w:t>
      </w:r>
      <w:r>
        <w:rPr>
          <w:rFonts w:hint="eastAsia" w:ascii="仿宋_GB2312" w:hAnsi="仿宋_GB2312" w:eastAsia="仿宋_GB2312" w:cs="仿宋_GB2312"/>
          <w:color w:val="000000"/>
          <w:kern w:val="0"/>
          <w:sz w:val="32"/>
          <w:szCs w:val="32"/>
          <w:u w:color="000000"/>
          <w:lang w:val="zh-TW" w:eastAsia="zh-TW"/>
        </w:rPr>
        <w:t>工作、学习、生活中，力争提出具有一定</w:t>
      </w:r>
      <w:r>
        <w:rPr>
          <w:rFonts w:hint="eastAsia" w:ascii="仿宋_GB2312" w:hAnsi="仿宋_GB2312" w:eastAsia="仿宋_GB2312" w:cs="仿宋_GB2312"/>
          <w:color w:val="000000"/>
          <w:kern w:val="0"/>
          <w:sz w:val="32"/>
          <w:szCs w:val="32"/>
          <w:u w:color="000000"/>
          <w:lang w:val="zh-TW"/>
        </w:rPr>
        <w:t>实用</w:t>
      </w:r>
      <w:r>
        <w:rPr>
          <w:rFonts w:hint="eastAsia" w:ascii="仿宋_GB2312" w:hAnsi="仿宋_GB2312" w:eastAsia="仿宋_GB2312" w:cs="仿宋_GB2312"/>
          <w:color w:val="000000"/>
          <w:kern w:val="0"/>
          <w:sz w:val="32"/>
          <w:szCs w:val="32"/>
          <w:u w:color="000000"/>
          <w:lang w:val="zh-TW" w:eastAsia="zh-TW"/>
        </w:rPr>
        <w:t>性和创新性的</w:t>
      </w:r>
      <w:r>
        <w:rPr>
          <w:rFonts w:hint="eastAsia" w:ascii="仿宋_GB2312" w:hAnsi="仿宋_GB2312" w:eastAsia="仿宋_GB2312" w:cs="仿宋_GB2312"/>
          <w:color w:val="000000"/>
          <w:kern w:val="0"/>
          <w:sz w:val="32"/>
          <w:szCs w:val="32"/>
          <w:u w:color="000000"/>
          <w:lang w:val="zh-TW"/>
        </w:rPr>
        <w:t>课程，</w:t>
      </w:r>
      <w:r>
        <w:rPr>
          <w:rFonts w:ascii="仿宋_GB2312" w:hAnsi="仿宋_GB2312" w:eastAsia="仿宋_GB2312" w:cs="仿宋_GB2312"/>
          <w:color w:val="000000"/>
          <w:kern w:val="0"/>
          <w:sz w:val="32"/>
          <w:szCs w:val="32"/>
          <w:u w:color="000000"/>
          <w:lang w:val="zh-TW" w:eastAsia="zh-TW"/>
        </w:rPr>
        <w:t>确保</w:t>
      </w:r>
      <w:r>
        <w:rPr>
          <w:rFonts w:hint="eastAsia" w:ascii="仿宋_GB2312" w:hAnsi="仿宋_GB2312" w:eastAsia="仿宋_GB2312" w:cs="仿宋_GB2312"/>
          <w:color w:val="000000"/>
          <w:kern w:val="0"/>
          <w:sz w:val="32"/>
          <w:szCs w:val="32"/>
          <w:u w:color="000000"/>
          <w:lang w:val="zh-TW"/>
        </w:rPr>
        <w:t>培养过程</w:t>
      </w:r>
      <w:r>
        <w:rPr>
          <w:rFonts w:ascii="仿宋_GB2312" w:hAnsi="仿宋_GB2312" w:eastAsia="仿宋_GB2312" w:cs="仿宋_GB2312"/>
          <w:color w:val="000000"/>
          <w:kern w:val="0"/>
          <w:sz w:val="32"/>
          <w:szCs w:val="32"/>
          <w:u w:color="000000"/>
          <w:lang w:val="zh-TW" w:eastAsia="zh-TW"/>
        </w:rPr>
        <w:t>取得扎实成效。</w:t>
      </w:r>
    </w:p>
    <w:p>
      <w:pPr>
        <w:adjustRightInd w:val="0"/>
        <w:snapToGrid w:val="0"/>
        <w:spacing w:line="600" w:lineRule="exact"/>
        <w:ind w:firstLine="640" w:firstLineChars="200"/>
        <w:rPr>
          <w:rFonts w:ascii="仿宋_GB2312" w:hAnsi="仿宋_GB2312" w:eastAsia="仿宋_GB2312" w:cs="仿宋_GB2312"/>
          <w:color w:val="000000"/>
          <w:kern w:val="0"/>
          <w:sz w:val="32"/>
          <w:szCs w:val="32"/>
          <w:u w:color="000000"/>
          <w:lang w:val="zh-TW" w:eastAsia="zh-TW"/>
        </w:rPr>
      </w:pPr>
    </w:p>
    <w:p>
      <w:pPr>
        <w:spacing w:line="600" w:lineRule="exact"/>
        <w:rPr>
          <w:rFonts w:ascii="仿宋_GB2312" w:hAnsi="仿宋_GB2312" w:eastAsia="仿宋_GB2312" w:cs="仿宋_GB2312"/>
          <w:sz w:val="32"/>
          <w:szCs w:val="32"/>
        </w:rPr>
      </w:pPr>
      <w:r>
        <w:rPr>
          <w:rFonts w:hint="eastAsia" w:ascii="楷体_GB2312" w:hAnsi="楷体_GB2312" w:eastAsia="楷体_GB2312" w:cs="楷体_GB2312"/>
          <w:b/>
          <w:sz w:val="32"/>
          <w:szCs w:val="32"/>
        </w:rPr>
        <w:t xml:space="preserve">    </w:t>
      </w:r>
      <w:r>
        <w:rPr>
          <w:rFonts w:hint="eastAsia" w:ascii="仿宋_GB2312" w:hAnsi="仿宋_GB2312" w:eastAsia="仿宋_GB2312" w:cs="仿宋_GB2312"/>
          <w:sz w:val="32"/>
          <w:szCs w:val="32"/>
        </w:rPr>
        <w:t>联系人：马海强</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r>
        <w:rPr>
          <w:rFonts w:ascii="仿宋_GB2312" w:hAnsi="仿宋_GB2312" w:eastAsia="仿宋_GB2312" w:cs="仿宋_GB2312"/>
          <w:sz w:val="32"/>
          <w:szCs w:val="32"/>
        </w:rPr>
        <w:t>130</w:t>
      </w:r>
      <w:r>
        <w:rPr>
          <w:rFonts w:hint="eastAsia" w:ascii="仿宋_GB2312" w:hAnsi="仿宋_GB2312" w:eastAsia="仿宋_GB2312" w:cs="仿宋_GB2312"/>
          <w:sz w:val="32"/>
          <w:szCs w:val="32"/>
        </w:rPr>
        <w:t>05689447</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工作邮箱：ccdgut-tw@qq.com</w:t>
      </w:r>
    </w:p>
    <w:p>
      <w:pPr>
        <w:spacing w:line="600" w:lineRule="exact"/>
        <w:rPr>
          <w:rFonts w:ascii="仿宋_GB2312" w:hAnsi="仿宋_GB2312" w:eastAsia="仿宋_GB2312" w:cs="仿宋_GB2312"/>
          <w:sz w:val="32"/>
          <w:szCs w:val="32"/>
        </w:rPr>
      </w:pPr>
    </w:p>
    <w:p>
      <w:pPr>
        <w:spacing w:line="600" w:lineRule="exact"/>
        <w:ind w:left="1918" w:leftChars="304" w:hanging="1280" w:hangingChars="400"/>
        <w:rPr>
          <w:rFonts w:ascii="仿宋_GB2312" w:hAnsi="仿宋_GB2312" w:eastAsia="仿宋_GB2312" w:cs="仿宋_GB2312"/>
          <w:sz w:val="32"/>
          <w:szCs w:val="32"/>
        </w:rPr>
      </w:pPr>
      <w:r>
        <w:rPr>
          <w:rFonts w:hint="eastAsia" w:ascii="仿宋_GB2312" w:hAnsi="仿宋_GB2312" w:eastAsia="仿宋_GB2312" w:cs="仿宋_GB2312"/>
          <w:sz w:val="32"/>
          <w:szCs w:val="32"/>
        </w:rPr>
        <w:t>附件：1.东莞理工学院城市学院青马工程“两库”</w:t>
      </w:r>
      <w:r>
        <w:rPr>
          <w:rFonts w:ascii="仿宋_GB2312" w:hAnsi="仿宋_GB2312" w:eastAsia="仿宋_GB2312" w:cs="仿宋_GB2312"/>
          <w:sz w:val="32"/>
          <w:szCs w:val="32"/>
        </w:rPr>
        <w:t>课题指南</w:t>
      </w:r>
    </w:p>
    <w:p>
      <w:pPr>
        <w:spacing w:line="600" w:lineRule="exact"/>
        <w:ind w:left="1600"/>
        <w:rPr>
          <w:rFonts w:ascii="仿宋_GB2312" w:hAnsi="仿宋_GB2312" w:eastAsia="仿宋_GB2312" w:cs="仿宋_GB2312"/>
          <w:sz w:val="32"/>
          <w:szCs w:val="32"/>
        </w:rPr>
      </w:pPr>
      <w:r>
        <w:rPr>
          <w:rFonts w:hint="eastAsia" w:ascii="仿宋_GB2312" w:hAnsi="仿宋_GB2312" w:eastAsia="仿宋_GB2312" w:cs="仿宋_GB2312"/>
          <w:sz w:val="32"/>
          <w:szCs w:val="32"/>
        </w:rPr>
        <w:t>2.东莞理工学院城市学院青马工程“两库”评选细则</w:t>
      </w:r>
    </w:p>
    <w:p>
      <w:pPr>
        <w:spacing w:line="600" w:lineRule="exact"/>
        <w:ind w:left="1918" w:leftChars="761" w:hanging="320" w:hangingChars="100"/>
        <w:rPr>
          <w:rFonts w:ascii="仿宋_GB2312" w:hAnsi="仿宋_GB2312" w:eastAsia="仿宋_GB2312" w:cs="仿宋_GB2312"/>
          <w:sz w:val="32"/>
          <w:szCs w:val="32"/>
        </w:rPr>
      </w:pPr>
      <w:r>
        <w:rPr>
          <w:rFonts w:hint="eastAsia" w:ascii="仿宋_GB2312" w:hAnsi="仿宋_GB2312" w:eastAsia="仿宋_GB2312" w:cs="仿宋_GB2312"/>
          <w:sz w:val="32"/>
          <w:szCs w:val="32"/>
        </w:rPr>
        <w:t>3.东莞理工学院城市学院青马工程“两库”课程申报书</w:t>
      </w:r>
    </w:p>
    <w:p>
      <w:pPr>
        <w:spacing w:line="600" w:lineRule="exact"/>
        <w:ind w:left="1916" w:leftChars="760" w:hanging="320" w:hangingChars="100"/>
        <w:rPr>
          <w:rFonts w:ascii="仿宋_GB2312" w:hAnsi="仿宋_GB2312" w:eastAsia="仿宋_GB2312" w:cs="仿宋_GB2312"/>
          <w:sz w:val="32"/>
          <w:szCs w:val="32"/>
        </w:rPr>
      </w:pPr>
      <w:r>
        <w:rPr>
          <w:rFonts w:hint="eastAsia" w:ascii="仿宋_GB2312" w:hAnsi="仿宋_GB2312" w:eastAsia="仿宋_GB2312" w:cs="仿宋_GB2312"/>
          <w:sz w:val="32"/>
          <w:szCs w:val="32"/>
        </w:rPr>
        <w:t>4.东莞理工学院城市学院青马工程“两库”课程汇总表</w:t>
      </w:r>
    </w:p>
    <w:p>
      <w:pPr>
        <w:spacing w:line="600" w:lineRule="exact"/>
        <w:ind w:left="1916" w:leftChars="760" w:hanging="320" w:hangingChars="100"/>
        <w:rPr>
          <w:rFonts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东莞理工学院城市学院青马工程“两库”</w:t>
      </w:r>
      <w:r>
        <w:rPr>
          <w:rFonts w:hint="eastAsia"/>
          <w:sz w:val="32"/>
          <w:szCs w:val="32"/>
        </w:rPr>
        <w:t xml:space="preserve"> </w:t>
      </w:r>
      <w:r>
        <w:rPr>
          <w:rFonts w:hint="eastAsia" w:ascii="仿宋_GB2312" w:hAnsi="仿宋_GB2312" w:eastAsia="仿宋_GB2312" w:cs="仿宋_GB2312"/>
          <w:sz w:val="32"/>
          <w:szCs w:val="32"/>
        </w:rPr>
        <w:t>高评高选课程</w:t>
      </w:r>
    </w:p>
    <w:p>
      <w:pPr>
        <w:spacing w:line="600" w:lineRule="exact"/>
        <w:rPr>
          <w:rFonts w:ascii="仿宋_GB2312" w:hAnsi="仿宋_GB2312" w:eastAsia="仿宋_GB2312" w:cs="仿宋_GB2312"/>
          <w:sz w:val="32"/>
          <w:szCs w:val="32"/>
        </w:rPr>
      </w:pPr>
    </w:p>
    <w:p>
      <w:pPr>
        <w:spacing w:line="600" w:lineRule="exact"/>
        <w:ind w:right="420" w:rightChars="200" w:firstLine="640" w:firstLineChars="200"/>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共青团东莞理工学院城市学院委员会</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eastAsia="仿宋_GB2312"/>
          <w:sz w:val="32"/>
          <w:szCs w:val="32"/>
        </w:rPr>
        <w:t>20</w:t>
      </w:r>
      <w:r>
        <w:rPr>
          <w:rFonts w:hint="eastAsia" w:eastAsia="仿宋_GB2312"/>
          <w:sz w:val="32"/>
          <w:szCs w:val="32"/>
        </w:rPr>
        <w:t>20</w:t>
      </w:r>
      <w:r>
        <w:rPr>
          <w:rFonts w:hint="eastAsia" w:ascii="仿宋_GB2312" w:hAnsi="仿宋_GB2312" w:eastAsia="仿宋_GB2312" w:cs="仿宋_GB2312"/>
          <w:sz w:val="32"/>
          <w:szCs w:val="32"/>
        </w:rPr>
        <w:t>年</w:t>
      </w:r>
      <w:r>
        <w:rPr>
          <w:rFonts w:hint="eastAsia" w:eastAsia="仿宋_GB2312"/>
          <w:sz w:val="32"/>
          <w:szCs w:val="32"/>
        </w:rPr>
        <w:t>12</w:t>
      </w:r>
      <w:r>
        <w:rPr>
          <w:rFonts w:hint="eastAsia" w:ascii="仿宋_GB2312" w:hAnsi="仿宋_GB2312" w:eastAsia="仿宋_GB2312" w:cs="仿宋_GB2312"/>
          <w:sz w:val="32"/>
          <w:szCs w:val="32"/>
        </w:rPr>
        <w:t>月</w:t>
      </w:r>
      <w:r>
        <w:rPr>
          <w:rFonts w:hint="eastAsia" w:eastAsia="仿宋_GB2312"/>
          <w:sz w:val="32"/>
          <w:szCs w:val="32"/>
        </w:rPr>
        <w:t>1</w:t>
      </w:r>
      <w:r>
        <w:rPr>
          <w:rFonts w:hint="eastAsia" w:ascii="仿宋_GB2312" w:hAnsi="仿宋_GB2312" w:eastAsia="仿宋_GB2312" w:cs="仿宋_GB2312"/>
          <w:sz w:val="32"/>
          <w:szCs w:val="32"/>
        </w:rPr>
        <w:t>日</w:t>
      </w:r>
    </w:p>
    <w:p>
      <w:pPr>
        <w:spacing w:line="600" w:lineRule="exact"/>
        <w:rPr>
          <w:rFonts w:ascii="仿宋_GB2312" w:hAnsi="仿宋_GB2312" w:eastAsia="仿宋_GB2312" w:cs="仿宋_GB2312"/>
          <w:sz w:val="32"/>
          <w:szCs w:val="32"/>
        </w:rPr>
        <w:sectPr>
          <w:footerReference r:id="rId4" w:type="default"/>
          <w:pgSz w:w="11906" w:h="16838"/>
          <w:pgMar w:top="2098" w:right="1474" w:bottom="1984" w:left="1587" w:header="850" w:footer="1417" w:gutter="0"/>
          <w:pgBorders>
            <w:top w:val="none" w:sz="0" w:space="0"/>
            <w:left w:val="none" w:sz="0" w:space="0"/>
            <w:bottom w:val="none" w:sz="0" w:space="0"/>
            <w:right w:val="none" w:sz="0" w:space="0"/>
          </w:pgBorders>
          <w:pgNumType w:fmt="numberInDash"/>
          <w:cols w:space="0" w:num="1"/>
          <w:rtlGutter w:val="0"/>
          <w:docGrid w:type="lines" w:linePitch="319" w:charSpace="0"/>
        </w:sectPr>
      </w:pPr>
    </w:p>
    <w:p>
      <w:pPr>
        <w:spacing w:line="600" w:lineRule="exact"/>
        <w:rPr>
          <w:rFonts w:eastAsia="黑体"/>
          <w:sz w:val="32"/>
          <w:szCs w:val="32"/>
        </w:rPr>
      </w:pPr>
      <w:r>
        <w:rPr>
          <w:rFonts w:eastAsia="黑体"/>
          <w:sz w:val="32"/>
          <w:szCs w:val="32"/>
        </w:rPr>
        <w:t>附件</w:t>
      </w:r>
      <w:r>
        <w:rPr>
          <w:rFonts w:hint="eastAsia" w:eastAsia="黑体"/>
          <w:sz w:val="32"/>
          <w:szCs w:val="32"/>
        </w:rPr>
        <w:t>1</w:t>
      </w:r>
    </w:p>
    <w:p>
      <w:pPr>
        <w:spacing w:line="600" w:lineRule="exact"/>
        <w:jc w:val="center"/>
        <w:rPr>
          <w:rFonts w:ascii="方正小标宋简体" w:eastAsia="方正小标宋简体"/>
          <w:sz w:val="42"/>
          <w:szCs w:val="42"/>
        </w:rPr>
      </w:pPr>
      <w:r>
        <w:rPr>
          <w:rFonts w:hint="eastAsia" w:ascii="方正小标宋简体" w:eastAsia="方正小标宋简体"/>
          <w:sz w:val="42"/>
          <w:szCs w:val="42"/>
        </w:rPr>
        <w:t>东莞理工学院城市学院青马工程“两库”</w:t>
      </w:r>
    </w:p>
    <w:p>
      <w:pPr>
        <w:spacing w:line="600" w:lineRule="exact"/>
        <w:jc w:val="center"/>
        <w:rPr>
          <w:rFonts w:ascii="方正小标宋简体" w:eastAsia="方正小标宋简体"/>
          <w:sz w:val="42"/>
          <w:szCs w:val="42"/>
        </w:rPr>
      </w:pPr>
      <w:r>
        <w:rPr>
          <w:rFonts w:hint="eastAsia" w:ascii="方正小标宋简体" w:eastAsia="方正小标宋简体"/>
          <w:sz w:val="42"/>
          <w:szCs w:val="42"/>
        </w:rPr>
        <w:t>课程申报指南</w:t>
      </w:r>
    </w:p>
    <w:p>
      <w:pPr>
        <w:numPr>
          <w:ilvl w:val="0"/>
          <w:numId w:val="3"/>
        </w:num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培养原则</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坚持把人才成长的一般规律与青年马克思主义者的特殊要求相结合。既要尊重人才成长需要历经长期过程的一般规律，科学设计培养内容和方式，系统规划和推进各项工作；又要格外注重青年马克思主义者需要具备较高的政治素质这一特殊要求，着重加强理想信念、信仰立场、理论素养等方面的培养。</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坚持组织培养与自我教育相结合。既要充分发挥校团委、各级团组织的作用，根据培养目标和课程体系要求以及大学生骨干的实际需求，有计划、系统地开展培养工作；又要充分调动培养对象的内在积极性和主动性，引导他们开展日常学习，加强自我教育。</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坚持理论框架训练与能力结构训练相结合。既要通过开展理论学习等有效方式，对培养对象进行中国特色社会主义理论体系训练，传授观察、思考、分析问题的理论框架和基本方法；又要采取专业化的培养方式提高培养对象的学习研究、组织协调等社会化能力。</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坚持把组织社会实践与进行正确的社会观察引导相结合。既要把组织培养对象参加社会实践作为引导他们了解社会、全面提高综合素质、坚定理想信念的重要途径；又要找准他们普遍关心的理论和现实问题，对他们的思想困惑进行有针对性、有说服力的分析和解答，帮助他们廓清思想迷雾、形成正确的社会观察结论。</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坚持把培养选拔与日后的观察、举荐、使用相结合。既要在培养期内有计划、分阶段地引导和帮助培养对象逐步提高各方面素质；又要在培养期结束后实行跟踪培养制度，通过推荐理论学习文章、定期分区域开展沟通交流活动、组织在网上研讨重大问题、向有关方面举荐等方式保持与他们的联系和交流，为培养对象成长发展提供支持和帮助。</w:t>
      </w:r>
    </w:p>
    <w:p>
      <w:pPr>
        <w:numPr>
          <w:ilvl w:val="0"/>
          <w:numId w:val="3"/>
        </w:num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课程类别</w:t>
      </w:r>
    </w:p>
    <w:p>
      <w:pPr>
        <w:spacing w:line="600" w:lineRule="exact"/>
        <w:ind w:firstLine="640" w:firstLineChars="200"/>
        <w:rPr>
          <w:rFonts w:ascii="黑体" w:hAnsi="黑体" w:eastAsia="黑体" w:cs="黑体"/>
          <w:sz w:val="32"/>
          <w:szCs w:val="32"/>
        </w:rPr>
      </w:pPr>
      <w:r>
        <w:rPr>
          <w:rFonts w:hint="eastAsia" w:ascii="仿宋_GB2312" w:hAnsi="仿宋_GB2312" w:eastAsia="仿宋_GB2312" w:cs="仿宋_GB2312"/>
          <w:sz w:val="32"/>
          <w:szCs w:val="32"/>
        </w:rPr>
        <w:t>教学内容中所列条目仅供参考，课题组可自定具体教学内容，由校级青马工作小组审核同意后即可开展。</w:t>
      </w:r>
    </w:p>
    <w:p>
      <w:pPr>
        <w:pStyle w:val="9"/>
        <w:framePr w:wrap="auto" w:vAnchor="margin" w:hAnchor="text" w:yAlign="inline"/>
        <w:spacing w:line="600" w:lineRule="exact"/>
        <w:ind w:firstLine="643"/>
        <w:rPr>
          <w:rFonts w:ascii="楷体_GB2312" w:hAnsi="楷体_GB2312" w:eastAsia="楷体_GB2312" w:cs="楷体_GB2312"/>
          <w:b/>
          <w:bCs/>
          <w:sz w:val="32"/>
          <w:szCs w:val="32"/>
        </w:rPr>
      </w:pPr>
      <w:r>
        <w:rPr>
          <w:rFonts w:ascii="楷体_GB2312" w:hAnsi="楷体_GB2312" w:eastAsia="楷体_GB2312" w:cs="楷体_GB2312"/>
          <w:b/>
          <w:bCs/>
          <w:sz w:val="32"/>
          <w:szCs w:val="32"/>
          <w:lang w:val="zh-TW" w:eastAsia="zh-TW"/>
        </w:rPr>
        <w:t>（一）</w:t>
      </w:r>
      <w:r>
        <w:rPr>
          <w:rFonts w:hint="eastAsia" w:ascii="楷体_GB2312" w:hAnsi="楷体_GB2312" w:eastAsia="楷体_GB2312" w:cs="楷体_GB2312"/>
          <w:b/>
          <w:bCs/>
          <w:sz w:val="32"/>
          <w:szCs w:val="32"/>
        </w:rPr>
        <w:t>理论学习</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重点帮助培养对象加深对中国特色社会主义理论体系的理解，初步掌握马克思主义的立场、观点和方法；正确认识中国革命、建设和改革的历史以及基本国情，增强对当代各种社会思潮的辨析、甄别能力，进一步坚定跟党走中国特色社会主义道路的理想信念。教学内容如下：</w:t>
      </w:r>
    </w:p>
    <w:p>
      <w:pPr>
        <w:numPr>
          <w:ilvl w:val="0"/>
          <w:numId w:val="0"/>
        </w:numPr>
        <w:spacing w:line="600" w:lineRule="exact"/>
        <w:ind w:right="23" w:rightChars="11" w:firstLine="640" w:firstLineChars="200"/>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学习马列，品读经典：以关于马克思主义理论经典、中国特色社会主义理论、中共党史等的最新研究成果为主，帮助引导培养对象加深对中国特色社会主义理论体系的理解，初步掌握马克思主义的立场、观点和方法，培养学生骨干独立思考、思辨甄别的意识和能力，增强政治敏锐性和政治鉴别力，进一步坚定跟党走中国特色社会主义道路的理想信念，使其坚定“四个意识”，增强“四个自信”；强化集中培训，引导青马学员读原著、学原文、悟原理，全面系统学，及时跟进学，深入思考学，进一步在学懂弄通做实上下功夫。课程结束后至少安排学员开展一次组内读书报告会。</w:t>
      </w:r>
    </w:p>
    <w:p>
      <w:pPr>
        <w:numPr>
          <w:ilvl w:val="0"/>
          <w:numId w:val="0"/>
        </w:numPr>
        <w:spacing w:line="600" w:lineRule="exact"/>
        <w:ind w:right="23" w:rightChars="11"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关注时事，传递思想：鼓励培养对象自主阅读相关时事新闻与政策宣文，关注时事形势发展，帮助培养对象投身社会、感悟社会、奉献社会，可以通过线下举办专题讲座、开展主题精神学习会以及制作主题精神文创产品等方式进行研讨学习，亦可合理运用现代信息技术等手段、利用新媒体两微一端开展理论学习、交流学习心得等。</w:t>
      </w:r>
    </w:p>
    <w:p>
      <w:pPr>
        <w:numPr>
          <w:ilvl w:val="0"/>
          <w:numId w:val="0"/>
        </w:numPr>
        <w:spacing w:line="600" w:lineRule="exact"/>
        <w:ind w:right="23" w:rightChars="11"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如：举办专题讲座，邀请党政领导、专家学者就党的创新理论、重要战略思想、重大政策以及社会思潮、社会热点问题进行讲解；如：组建“青马宣讲团”，通过青马领学、研学、讲学相结合的创新方式，使学员成为学习宣传贯彻习近平新时代中国特色社会主义思想的青年排头兵。</w:t>
      </w:r>
    </w:p>
    <w:p>
      <w:pPr>
        <w:numPr>
          <w:ilvl w:val="0"/>
          <w:numId w:val="0"/>
        </w:numPr>
        <w:spacing w:line="600" w:lineRule="exact"/>
        <w:ind w:right="23" w:rightChars="11"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开展主题精神学习会。开展重要文件精神专题宣讲会、辅导报告，传递全会精神；课程结束后至少安排学员开展一次组内学习心得报告会。</w:t>
      </w:r>
    </w:p>
    <w:p>
      <w:pPr>
        <w:numPr>
          <w:ilvl w:val="0"/>
          <w:numId w:val="0"/>
        </w:numPr>
        <w:spacing w:line="600" w:lineRule="exact"/>
        <w:ind w:right="23" w:rightChars="11"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制作主题精神学习会的文创产品。充分发挥青马学员主观能动性，开展青马学员创新设计和制作一批青少年喜闻乐见、能看懂、易理解的主题精神学习会的文创产品；如:漫画版微视频、党的十九届五中全会 “关键词”书签、宣传册等文创产品。</w:t>
      </w:r>
    </w:p>
    <w:p>
      <w:pPr>
        <w:pStyle w:val="9"/>
        <w:framePr w:wrap="auto" w:vAnchor="margin" w:hAnchor="text" w:yAlign="inline"/>
        <w:spacing w:line="600" w:lineRule="exact"/>
        <w:ind w:firstLine="643"/>
        <w:rPr>
          <w:rFonts w:ascii="楷体_GB2312" w:hAnsi="楷体_GB2312" w:eastAsia="楷体_GB2312" w:cs="楷体_GB2312"/>
          <w:b/>
          <w:bCs/>
          <w:sz w:val="32"/>
          <w:szCs w:val="32"/>
        </w:rPr>
      </w:pPr>
      <w:r>
        <w:rPr>
          <w:rFonts w:ascii="楷体_GB2312" w:hAnsi="楷体_GB2312" w:eastAsia="楷体_GB2312" w:cs="楷体_GB2312"/>
          <w:b/>
          <w:bCs/>
          <w:sz w:val="32"/>
          <w:szCs w:val="32"/>
          <w:lang w:val="zh-TW" w:eastAsia="zh-TW"/>
        </w:rPr>
        <w:t>（</w:t>
      </w:r>
      <w:r>
        <w:rPr>
          <w:rFonts w:hint="eastAsia" w:ascii="楷体_GB2312" w:hAnsi="楷体_GB2312" w:eastAsia="楷体_GB2312" w:cs="楷体_GB2312"/>
          <w:b/>
          <w:bCs/>
          <w:sz w:val="32"/>
          <w:szCs w:val="32"/>
        </w:rPr>
        <w:t>二</w:t>
      </w:r>
      <w:r>
        <w:rPr>
          <w:rFonts w:ascii="楷体_GB2312" w:hAnsi="楷体_GB2312" w:eastAsia="楷体_GB2312" w:cs="楷体_GB2312"/>
          <w:b/>
          <w:bCs/>
          <w:sz w:val="32"/>
          <w:szCs w:val="32"/>
          <w:lang w:val="zh-TW" w:eastAsia="zh-TW"/>
        </w:rPr>
        <w:t>）</w:t>
      </w:r>
      <w:r>
        <w:rPr>
          <w:rFonts w:hint="eastAsia" w:ascii="楷体_GB2312" w:hAnsi="楷体_GB2312" w:eastAsia="楷体_GB2312" w:cs="楷体_GB2312"/>
          <w:b/>
          <w:bCs/>
          <w:sz w:val="32"/>
          <w:szCs w:val="32"/>
          <w:lang w:val="zh-TW" w:eastAsia="zh-TW"/>
        </w:rPr>
        <w:t>社会实践</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重点引导培养对象了解基层、认识国情，增强历史使命感和社会责任感；开展“返家乡”实践、组织青马学员向社区报到、寒暑假返乡兼职锻炼，服务群众，密切与基层和群众的联系，培养对党、对人民的朴素感情，树立走与人民群众紧密结合的成长道路的意识；深化“三下乡”活动，引导青马学员投身脱贫攻坚、助力乡村振兴，在艰苦的环境中磨练意志品质、培养优良作风；安排青马学员参加志愿服务，组织青马学员参加社会实践、劳动教育和志愿服务增加社会阅历，培养、提高社会适应能力和综合素质。如：利用寒暑假时间，组织培养对象到农村、社区、学校、政府机关等进行实践锻炼或调查研究，短期可举行如第五期校级大骨班之《校企合作社会调研》等系列课程。</w:t>
      </w:r>
    </w:p>
    <w:p>
      <w:pPr>
        <w:spacing w:line="600" w:lineRule="exact"/>
        <w:ind w:firstLine="643" w:firstLineChars="200"/>
        <w:rPr>
          <w:rFonts w:ascii="楷体_GB2312" w:hAnsi="楷体_GB2312" w:eastAsia="楷体_GB2312" w:cs="楷体_GB2312"/>
          <w:b/>
          <w:bCs/>
          <w:sz w:val="32"/>
          <w:szCs w:val="32"/>
        </w:rPr>
      </w:pPr>
      <w:r>
        <w:rPr>
          <w:rFonts w:ascii="楷体_GB2312" w:hAnsi="楷体_GB2312" w:eastAsia="楷体_GB2312" w:cs="楷体_GB2312"/>
          <w:b/>
          <w:bCs/>
          <w:sz w:val="32"/>
          <w:szCs w:val="32"/>
          <w:lang w:val="zh-TW" w:eastAsia="zh-TW"/>
        </w:rPr>
        <w:t>（</w:t>
      </w:r>
      <w:r>
        <w:rPr>
          <w:rFonts w:hint="eastAsia" w:ascii="楷体_GB2312" w:hAnsi="楷体_GB2312" w:eastAsia="楷体_GB2312" w:cs="楷体_GB2312"/>
          <w:b/>
          <w:bCs/>
          <w:sz w:val="32"/>
          <w:szCs w:val="32"/>
        </w:rPr>
        <w:t>三</w:t>
      </w:r>
      <w:r>
        <w:rPr>
          <w:rFonts w:ascii="楷体_GB2312" w:hAnsi="楷体_GB2312" w:eastAsia="楷体_GB2312" w:cs="楷体_GB2312"/>
          <w:b/>
          <w:bCs/>
          <w:sz w:val="32"/>
          <w:szCs w:val="32"/>
          <w:lang w:val="zh-TW" w:eastAsia="zh-TW"/>
        </w:rPr>
        <w:t>）</w:t>
      </w:r>
      <w:r>
        <w:rPr>
          <w:rFonts w:hint="eastAsia" w:ascii="楷体_GB2312" w:hAnsi="楷体_GB2312" w:eastAsia="楷体_GB2312" w:cs="楷体_GB2312"/>
          <w:b/>
          <w:bCs/>
          <w:sz w:val="32"/>
          <w:szCs w:val="32"/>
        </w:rPr>
        <w:t>社会观察</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重点帮助培养对象逐步掌握和运用比较研究的方法，培养和提高独立思考、思辨甄别的意识和能力，澄清思想上的困惑和和模糊认识，增强政治敏锐性和政治鉴别力；对重大理论和现实问题以及社会热点现象进行观察思考，形成更深刻、更理性、更全面、更稳定的看法，进而明确坚定的政治方向。教学内容如下：</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通过利用媒体开设社会观察专栏、举办辩论活动等方式对培养对象进行正面引导，加大培养对象对政治、经济、文化等方面的不同制度、体制和发展模式的比较研究，关注热点民生、与话题人物进行访谈，撰写社会观察报告。</w:t>
      </w:r>
    </w:p>
    <w:p>
      <w:pPr>
        <w:spacing w:line="600" w:lineRule="exact"/>
        <w:ind w:firstLine="643" w:firstLineChars="200"/>
        <w:rPr>
          <w:rFonts w:ascii="仿宋_GB2312" w:hAnsi="仿宋_GB2312" w:eastAsia="仿宋_GB2312" w:cs="仿宋_GB2312"/>
          <w:sz w:val="32"/>
          <w:szCs w:val="32"/>
        </w:rPr>
      </w:pPr>
      <w:r>
        <w:rPr>
          <w:rFonts w:ascii="楷体_GB2312" w:hAnsi="楷体_GB2312" w:eastAsia="楷体_GB2312" w:cs="楷体_GB2312"/>
          <w:b/>
          <w:bCs/>
          <w:sz w:val="32"/>
          <w:szCs w:val="32"/>
          <w:lang w:val="zh-TW" w:eastAsia="zh-TW"/>
        </w:rPr>
        <w:t>（</w:t>
      </w:r>
      <w:r>
        <w:rPr>
          <w:rFonts w:hint="eastAsia" w:ascii="楷体_GB2312" w:hAnsi="楷体_GB2312" w:eastAsia="楷体_GB2312" w:cs="楷体_GB2312"/>
          <w:b/>
          <w:bCs/>
          <w:sz w:val="32"/>
          <w:szCs w:val="32"/>
        </w:rPr>
        <w:t>四</w:t>
      </w:r>
      <w:r>
        <w:rPr>
          <w:rFonts w:ascii="楷体_GB2312" w:hAnsi="楷体_GB2312" w:eastAsia="楷体_GB2312" w:cs="楷体_GB2312"/>
          <w:b/>
          <w:bCs/>
          <w:sz w:val="32"/>
          <w:szCs w:val="32"/>
          <w:lang w:val="zh-TW" w:eastAsia="zh-TW"/>
        </w:rPr>
        <w:t>）</w:t>
      </w:r>
      <w:r>
        <w:rPr>
          <w:rFonts w:hint="eastAsia" w:ascii="楷体_GB2312" w:hAnsi="楷体_GB2312" w:eastAsia="楷体_GB2312" w:cs="楷体_GB2312"/>
          <w:b/>
          <w:bCs/>
          <w:sz w:val="32"/>
          <w:szCs w:val="32"/>
          <w:lang w:val="zh-TW" w:eastAsia="zh-TW"/>
        </w:rPr>
        <w:t>红色教育</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重点帮助培养对象了解中国共产党领导革命取得成功的历史必然性，使他们能够从中国革命的内在逻辑出发认识并由衷认同中国共产党的领导地位；增强对革命传统精神的理解，实现爱国主义精神的升华；增强“先锋”意识，坚定在党的领导下建设中国特色社会主义的信念。教学内容如下：</w:t>
      </w:r>
    </w:p>
    <w:p>
      <w:pPr>
        <w:numPr>
          <w:ilvl w:val="0"/>
          <w:numId w:val="4"/>
        </w:num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结合建党100周年，重温入党誓词，举办“寻找革命先烈的足迹”系列活动，开展“建党100周年系列图片展”、“游革命先烈故居，看祖国发展变化”系列研学活动等。</w:t>
      </w:r>
    </w:p>
    <w:p>
      <w:pPr>
        <w:numPr>
          <w:ilvl w:val="0"/>
          <w:numId w:val="4"/>
        </w:num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组织培养对象实地参观爱国主义教育基地、革命遗址等，对革命老区保留下来的遗址和可歌可泣的革命故事进行宣传，结合红色文化教育开展歌颂祖国等系列活动。观看反映革命战争年代和新中国建设时期的影片，寻访历史见证人；观看反映优秀共产党员事迹的影像资料、专题展览，邀请先进典型作事迹报告。</w:t>
      </w:r>
    </w:p>
    <w:p>
      <w:pPr>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学习党史、新中国史、改革开放史、社会主义发展史，简称“四史”（知识问答、红色书籍分享会、红色故事分享会、红色电影分享）</w:t>
      </w:r>
    </w:p>
    <w:p>
      <w:pPr>
        <w:spacing w:line="600" w:lineRule="exact"/>
        <w:ind w:firstLine="643" w:firstLineChars="200"/>
        <w:rPr>
          <w:rFonts w:ascii="仿宋_GB2312" w:hAnsi="仿宋_GB2312" w:eastAsia="仿宋_GB2312" w:cs="仿宋_GB2312"/>
          <w:sz w:val="32"/>
          <w:szCs w:val="32"/>
        </w:rPr>
      </w:pPr>
      <w:r>
        <w:rPr>
          <w:rFonts w:ascii="楷体_GB2312" w:hAnsi="楷体_GB2312" w:eastAsia="楷体_GB2312" w:cs="楷体_GB2312"/>
          <w:b/>
          <w:bCs/>
          <w:sz w:val="32"/>
          <w:szCs w:val="32"/>
          <w:lang w:val="zh-TW" w:eastAsia="zh-TW"/>
        </w:rPr>
        <w:t>（</w:t>
      </w:r>
      <w:r>
        <w:rPr>
          <w:rFonts w:hint="eastAsia" w:ascii="楷体_GB2312" w:hAnsi="楷体_GB2312" w:eastAsia="楷体_GB2312" w:cs="楷体_GB2312"/>
          <w:b/>
          <w:bCs/>
          <w:sz w:val="32"/>
          <w:szCs w:val="32"/>
        </w:rPr>
        <w:t>五</w:t>
      </w:r>
      <w:r>
        <w:rPr>
          <w:rFonts w:ascii="楷体_GB2312" w:hAnsi="楷体_GB2312" w:eastAsia="楷体_GB2312" w:cs="楷体_GB2312"/>
          <w:b/>
          <w:bCs/>
          <w:sz w:val="32"/>
          <w:szCs w:val="32"/>
          <w:lang w:val="zh-TW" w:eastAsia="zh-TW"/>
        </w:rPr>
        <w:t>）</w:t>
      </w:r>
      <w:r>
        <w:rPr>
          <w:rFonts w:hint="eastAsia" w:ascii="楷体_GB2312" w:hAnsi="楷体_GB2312" w:eastAsia="楷体_GB2312" w:cs="楷体_GB2312"/>
          <w:b/>
          <w:bCs/>
          <w:sz w:val="32"/>
          <w:szCs w:val="32"/>
          <w:lang w:val="zh-TW" w:eastAsia="zh-TW"/>
        </w:rPr>
        <w:t>专项训练</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重点帮助培养对象提高以社会化能力为核心的组织能力、协调能力、沟通能力、分析判断能力等综合素质；学习掌握适应现代社会和未来发展需要的实用知识和技能。教学内容如下：</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开设专门的培训课程，组织培养对象参加各种专业化的能力训练，开展相应的活动进行情景模拟体验。如：办公软件培训、社交礼仪、口才艺术与商务谈判、调研方法与调研报告撰写等。</w:t>
      </w:r>
    </w:p>
    <w:p>
      <w:pPr>
        <w:pStyle w:val="9"/>
        <w:framePr w:wrap="auto" w:vAnchor="margin" w:hAnchor="text" w:yAlign="inline"/>
        <w:spacing w:line="600" w:lineRule="exact"/>
        <w:ind w:firstLine="643"/>
        <w:rPr>
          <w:rFonts w:ascii="楷体_GB2312" w:hAnsi="楷体_GB2312" w:eastAsia="楷体_GB2312" w:cs="楷体_GB2312"/>
          <w:b/>
          <w:bCs/>
          <w:sz w:val="32"/>
          <w:szCs w:val="32"/>
        </w:rPr>
      </w:pPr>
      <w:r>
        <w:rPr>
          <w:rFonts w:ascii="楷体_GB2312" w:hAnsi="楷体_GB2312" w:eastAsia="楷体_GB2312" w:cs="楷体_GB2312"/>
          <w:b/>
          <w:bCs/>
          <w:sz w:val="32"/>
          <w:szCs w:val="32"/>
          <w:lang w:val="zh-TW" w:eastAsia="zh-TW"/>
        </w:rPr>
        <w:t>（</w:t>
      </w:r>
      <w:r>
        <w:rPr>
          <w:rFonts w:hint="eastAsia" w:ascii="楷体_GB2312" w:hAnsi="楷体_GB2312" w:eastAsia="楷体_GB2312" w:cs="楷体_GB2312"/>
          <w:b/>
          <w:bCs/>
          <w:sz w:val="32"/>
          <w:szCs w:val="32"/>
        </w:rPr>
        <w:t>六</w:t>
      </w:r>
      <w:r>
        <w:rPr>
          <w:rFonts w:ascii="楷体_GB2312" w:hAnsi="楷体_GB2312" w:eastAsia="楷体_GB2312" w:cs="楷体_GB2312"/>
          <w:b/>
          <w:bCs/>
          <w:sz w:val="32"/>
          <w:szCs w:val="32"/>
          <w:lang w:val="zh-TW" w:eastAsia="zh-TW"/>
        </w:rPr>
        <w:t>）</w:t>
      </w:r>
      <w:r>
        <w:rPr>
          <w:rFonts w:hint="eastAsia" w:ascii="楷体_GB2312" w:hAnsi="楷体_GB2312" w:eastAsia="楷体_GB2312" w:cs="楷体_GB2312"/>
          <w:b/>
          <w:bCs/>
          <w:sz w:val="32"/>
          <w:szCs w:val="32"/>
          <w:lang w:val="zh-TW" w:eastAsia="zh-TW"/>
        </w:rPr>
        <w:t>交流研讨</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重点帮助培养对象在加强自学的基础上认真思考社会现实问题，运用所学理论探讨解决问题的思路与对策；激发主动探索的精神，培养批判性思维，锻炼表达能力；实现“教学相长”、“学学相长”，多方交流、共同提高。教学内容如下：</w:t>
      </w:r>
    </w:p>
    <w:p>
      <w:pPr>
        <w:numPr>
          <w:ilvl w:val="0"/>
          <w:numId w:val="5"/>
        </w:num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对内交流，加速成长：组织培养对象按班、小组对课堂教学内容进行讨论、质询，就一些重大理论和现实问题进行专题研讨和辩论，就学习、实践、出访中的收获和体会进行交流。</w:t>
      </w:r>
    </w:p>
    <w:p>
      <w:pPr>
        <w:numPr>
          <w:ilvl w:val="0"/>
          <w:numId w:val="5"/>
        </w:num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高峰论坛：真人图书馆，以交谈会的方式，邀请优秀青年教师、职能部门领导、教授、学校高层领导参与交谈会，与培养对象共同畅谈历史、科研、教育、生活等方面目前存在问题以及未来发展方向，打破学生与学校管理层的思维屏障，有效促进学校和谐发展。</w:t>
      </w:r>
    </w:p>
    <w:p>
      <w:pPr>
        <w:spacing w:line="600" w:lineRule="exact"/>
        <w:rPr>
          <w:rFonts w:eastAsia="黑体"/>
          <w:sz w:val="32"/>
          <w:szCs w:val="32"/>
        </w:rPr>
      </w:pPr>
    </w:p>
    <w:p>
      <w:pPr>
        <w:tabs>
          <w:tab w:val="left" w:pos="5476"/>
        </w:tabs>
        <w:spacing w:line="600" w:lineRule="exact"/>
        <w:jc w:val="left"/>
      </w:pPr>
    </w:p>
    <w:p>
      <w:pPr>
        <w:spacing w:line="600" w:lineRule="exact"/>
        <w:jc w:val="left"/>
        <w:rPr>
          <w:rFonts w:ascii="黑体" w:hAnsi="黑体" w:eastAsia="黑体"/>
          <w:sz w:val="32"/>
        </w:rPr>
        <w:sectPr>
          <w:footerReference r:id="rId5" w:type="default"/>
          <w:pgSz w:w="11906" w:h="16838"/>
          <w:pgMar w:top="1440" w:right="1803" w:bottom="1440" w:left="1803" w:header="851" w:footer="992" w:gutter="0"/>
          <w:pgBorders>
            <w:top w:val="none" w:sz="0" w:space="0"/>
            <w:left w:val="none" w:sz="0" w:space="0"/>
            <w:bottom w:val="none" w:sz="0" w:space="0"/>
            <w:right w:val="none" w:sz="0" w:space="0"/>
          </w:pgBorders>
          <w:pgNumType w:fmt="numberInDash"/>
          <w:cols w:space="720" w:num="1"/>
          <w:docGrid w:type="lines" w:linePitch="318" w:charSpace="0"/>
        </w:sectPr>
      </w:pPr>
    </w:p>
    <w:p>
      <w:pPr>
        <w:spacing w:line="600" w:lineRule="exact"/>
        <w:jc w:val="left"/>
        <w:rPr>
          <w:rFonts w:ascii="黑体" w:hAnsi="黑体" w:eastAsia="黑体"/>
          <w:sz w:val="32"/>
        </w:rPr>
      </w:pPr>
      <w:r>
        <w:rPr>
          <w:rFonts w:hint="eastAsia" w:ascii="黑体" w:hAnsi="黑体" w:eastAsia="黑体"/>
          <w:sz w:val="32"/>
        </w:rPr>
        <w:t>附件2</w:t>
      </w:r>
    </w:p>
    <w:p>
      <w:pPr>
        <w:spacing w:line="600" w:lineRule="exact"/>
        <w:jc w:val="left"/>
        <w:rPr>
          <w:rFonts w:ascii="黑体" w:hAnsi="黑体" w:eastAsia="黑体"/>
          <w:sz w:val="32"/>
        </w:rPr>
      </w:pPr>
    </w:p>
    <w:p>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东莞理工学院城市学院青马工程“两库”</w:t>
      </w:r>
    </w:p>
    <w:p>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评选细则</w:t>
      </w:r>
    </w:p>
    <w:p>
      <w:pPr>
        <w:numPr>
          <w:ilvl w:val="0"/>
          <w:numId w:val="6"/>
        </w:numPr>
        <w:spacing w:line="600" w:lineRule="exact"/>
        <w:rPr>
          <w:rFonts w:ascii="黑体" w:hAnsi="黑体" w:eastAsia="黑体" w:cs="黑体"/>
          <w:sz w:val="32"/>
          <w:szCs w:val="32"/>
          <w:lang w:val="zh-TW" w:eastAsia="zh-TW"/>
        </w:rPr>
      </w:pPr>
      <w:r>
        <w:rPr>
          <w:rFonts w:hint="eastAsia" w:ascii="黑体" w:hAnsi="黑体" w:eastAsia="黑体" w:cs="黑体"/>
          <w:sz w:val="32"/>
          <w:szCs w:val="32"/>
          <w:lang w:val="zh-TW" w:eastAsia="zh-TW"/>
        </w:rPr>
        <w:t>评审步骤</w:t>
      </w:r>
    </w:p>
    <w:p>
      <w:pPr>
        <w:spacing w:line="600" w:lineRule="exact"/>
        <w:ind w:firstLine="640" w:firstLineChars="200"/>
        <w:rPr>
          <w:rFonts w:eastAsia="仿宋_GB2312"/>
          <w:kern w:val="0"/>
          <w:sz w:val="32"/>
          <w:szCs w:val="32"/>
        </w:rPr>
      </w:pPr>
      <w:r>
        <w:rPr>
          <w:rFonts w:hint="eastAsia" w:ascii="仿宋_GB2312" w:hAnsi="仿宋_GB2312" w:eastAsia="仿宋_GB2312" w:cs="仿宋_GB2312"/>
          <w:kern w:val="0"/>
          <w:sz w:val="32"/>
          <w:szCs w:val="32"/>
        </w:rPr>
        <w:t>1.</w:t>
      </w:r>
      <w:r>
        <w:rPr>
          <w:rFonts w:eastAsia="仿宋_GB2312"/>
          <w:kern w:val="0"/>
          <w:sz w:val="32"/>
          <w:szCs w:val="32"/>
        </w:rPr>
        <w:t xml:space="preserve"> </w:t>
      </w:r>
      <w:r>
        <w:rPr>
          <w:rFonts w:hint="eastAsia" w:eastAsia="仿宋_GB2312"/>
          <w:kern w:val="0"/>
          <w:sz w:val="32"/>
          <w:szCs w:val="32"/>
        </w:rPr>
        <w:t>各课程负责人可在专业能力基础上，同时申报“校级共享课程”与“院级精品课程”，</w:t>
      </w:r>
      <w:r>
        <w:rPr>
          <w:rFonts w:hint="eastAsia" w:ascii="仿宋_GB2312" w:hAnsi="仿宋_GB2312" w:eastAsia="仿宋_GB2312" w:cs="仿宋_GB2312"/>
          <w:sz w:val="32"/>
          <w:szCs w:val="32"/>
        </w:rPr>
        <w:t>经所在单位备案、同意，将课程申报书（详见附件3，A4纸双面打印）纸质版加盖单位公章，由各学院团总支推报送至校团委组织部</w:t>
      </w:r>
      <w:r>
        <w:rPr>
          <w:rFonts w:hint="eastAsia" w:eastAsia="仿宋_GB2312"/>
          <w:kern w:val="0"/>
          <w:sz w:val="32"/>
          <w:szCs w:val="32"/>
        </w:rPr>
        <w:t>。</w:t>
      </w:r>
    </w:p>
    <w:p>
      <w:pPr>
        <w:spacing w:line="600" w:lineRule="exact"/>
        <w:ind w:firstLine="640" w:firstLineChars="200"/>
        <w:rPr>
          <w:rFonts w:eastAsia="仿宋_GB2312"/>
          <w:kern w:val="0"/>
          <w:sz w:val="32"/>
          <w:szCs w:val="32"/>
        </w:rPr>
      </w:pPr>
      <w:r>
        <w:rPr>
          <w:rFonts w:hint="eastAsia" w:ascii="仿宋_GB2312" w:hAnsi="仿宋_GB2312" w:eastAsia="仿宋_GB2312" w:cs="仿宋_GB2312"/>
          <w:kern w:val="0"/>
          <w:sz w:val="32"/>
          <w:szCs w:val="32"/>
        </w:rPr>
        <w:t>2.</w:t>
      </w:r>
      <w:r>
        <w:rPr>
          <w:rFonts w:eastAsia="仿宋_GB2312"/>
          <w:kern w:val="0"/>
          <w:sz w:val="32"/>
          <w:szCs w:val="32"/>
        </w:rPr>
        <w:t xml:space="preserve"> </w:t>
      </w:r>
      <w:r>
        <w:rPr>
          <w:rFonts w:hint="eastAsia" w:ascii="仿宋_GB2312" w:hAnsi="仿宋_GB2312" w:eastAsia="仿宋_GB2312" w:cs="仿宋_GB2312"/>
          <w:sz w:val="32"/>
          <w:szCs w:val="32"/>
        </w:rPr>
        <w:t>校级青马工作小组</w:t>
      </w:r>
      <w:r>
        <w:rPr>
          <w:rFonts w:hint="eastAsia" w:eastAsia="仿宋_GB2312"/>
          <w:kern w:val="0"/>
          <w:sz w:val="32"/>
          <w:szCs w:val="32"/>
        </w:rPr>
        <w:t>将根据各单位上报的申报书进行预审，确定“青马两库”入围名单，并进行考察评审。校级青马工作小组考察的主要内容：听取课负责人P</w:t>
      </w:r>
      <w:r>
        <w:rPr>
          <w:rFonts w:eastAsia="仿宋_GB2312"/>
          <w:kern w:val="0"/>
          <w:sz w:val="32"/>
          <w:szCs w:val="32"/>
        </w:rPr>
        <w:t>PT</w:t>
      </w:r>
      <w:r>
        <w:rPr>
          <w:rFonts w:hint="eastAsia" w:eastAsia="仿宋_GB2312"/>
          <w:kern w:val="0"/>
          <w:sz w:val="32"/>
          <w:szCs w:val="32"/>
        </w:rPr>
        <w:t>汇报，提问质疑等。</w:t>
      </w:r>
    </w:p>
    <w:p>
      <w:pPr>
        <w:spacing w:line="600" w:lineRule="exact"/>
        <w:ind w:firstLine="640" w:firstLineChars="200"/>
        <w:rPr>
          <w:rFonts w:eastAsia="仿宋_GB2312"/>
          <w:kern w:val="0"/>
          <w:sz w:val="32"/>
          <w:szCs w:val="32"/>
        </w:rPr>
      </w:pPr>
      <w:r>
        <w:rPr>
          <w:rFonts w:hint="eastAsia" w:ascii="仿宋_GB2312" w:hAnsi="仿宋_GB2312" w:eastAsia="仿宋_GB2312" w:cs="仿宋_GB2312"/>
          <w:kern w:val="0"/>
          <w:sz w:val="32"/>
          <w:szCs w:val="32"/>
        </w:rPr>
        <w:t>3. 校级青马工作小组将根据评议，决定“青马两库”最终名单并</w:t>
      </w:r>
      <w:r>
        <w:rPr>
          <w:rFonts w:hint="eastAsia" w:eastAsia="仿宋_GB2312"/>
          <w:kern w:val="0"/>
          <w:sz w:val="32"/>
          <w:szCs w:val="32"/>
        </w:rPr>
        <w:t>公示。</w:t>
      </w:r>
    </w:p>
    <w:p>
      <w:pPr>
        <w:spacing w:line="600" w:lineRule="exact"/>
        <w:ind w:firstLine="640" w:firstLineChars="200"/>
        <w:rPr>
          <w:rFonts w:eastAsia="仿宋_GB2312"/>
          <w:kern w:val="0"/>
          <w:sz w:val="32"/>
          <w:szCs w:val="32"/>
        </w:rPr>
      </w:pPr>
      <w:r>
        <w:rPr>
          <w:rFonts w:hint="eastAsia" w:ascii="仿宋_GB2312" w:hAnsi="仿宋_GB2312" w:eastAsia="仿宋_GB2312" w:cs="仿宋_GB2312"/>
          <w:kern w:val="0"/>
          <w:sz w:val="32"/>
          <w:szCs w:val="32"/>
        </w:rPr>
        <w:t xml:space="preserve">4. </w:t>
      </w:r>
      <w:r>
        <w:rPr>
          <w:rFonts w:hint="eastAsia" w:eastAsia="仿宋_GB2312"/>
          <w:kern w:val="0"/>
          <w:sz w:val="32"/>
          <w:szCs w:val="32"/>
        </w:rPr>
        <w:t>所有审核通过的课程，课程负责人及其率领的课程组应对该课程进行持续建设。</w:t>
      </w:r>
      <w:r>
        <w:rPr>
          <w:rFonts w:hint="eastAsia" w:ascii="仿宋_GB2312" w:hAnsi="仿宋_GB2312" w:eastAsia="仿宋_GB2312" w:cs="仿宋_GB2312"/>
          <w:sz w:val="32"/>
          <w:szCs w:val="32"/>
        </w:rPr>
        <w:t>校级青马工作小组</w:t>
      </w:r>
      <w:r>
        <w:rPr>
          <w:rFonts w:hint="eastAsia" w:eastAsia="仿宋_GB2312"/>
          <w:kern w:val="0"/>
          <w:sz w:val="32"/>
          <w:szCs w:val="32"/>
        </w:rPr>
        <w:t>将在每年团学工作绩效考核阶段进行检查。经检查不合格的课程将被取消“校级共享课程”或“院级精品课程”荣誉称号。被取消荣誉称号的课程经过整改，可在一年内申请复查一次，复查合格的课程可以恢复，复查仍不合格的课程，在两年内不能重新申报。</w:t>
      </w:r>
    </w:p>
    <w:p>
      <w:pPr>
        <w:numPr>
          <w:ilvl w:val="0"/>
          <w:numId w:val="6"/>
        </w:numPr>
        <w:spacing w:line="600" w:lineRule="exact"/>
        <w:rPr>
          <w:rFonts w:ascii="黑体" w:hAnsi="黑体" w:eastAsia="黑体" w:cs="黑体"/>
          <w:sz w:val="32"/>
          <w:szCs w:val="32"/>
          <w:lang w:val="zh-TW" w:eastAsia="zh-TW"/>
        </w:rPr>
      </w:pPr>
      <w:r>
        <w:rPr>
          <w:rFonts w:ascii="黑体" w:hAnsi="黑体" w:eastAsia="黑体" w:cs="黑体"/>
          <w:sz w:val="32"/>
          <w:szCs w:val="32"/>
          <w:lang w:val="zh-TW" w:eastAsia="zh-TW"/>
        </w:rPr>
        <w:t>评</w:t>
      </w:r>
      <w:r>
        <w:rPr>
          <w:rFonts w:hint="eastAsia" w:ascii="黑体" w:hAnsi="黑体" w:eastAsia="黑体" w:cs="黑体"/>
          <w:sz w:val="32"/>
          <w:szCs w:val="32"/>
        </w:rPr>
        <w:t>选标准</w:t>
      </w:r>
    </w:p>
    <w:p>
      <w:pPr>
        <w:spacing w:line="600" w:lineRule="exact"/>
        <w:ind w:firstLine="640" w:firstLineChars="200"/>
        <w:rPr>
          <w:rFonts w:eastAsia="仿宋_GB2312"/>
          <w:kern w:val="0"/>
          <w:sz w:val="32"/>
          <w:szCs w:val="32"/>
        </w:rPr>
      </w:pPr>
      <w:r>
        <w:rPr>
          <w:rFonts w:hint="eastAsia" w:eastAsia="仿宋_GB2312"/>
          <w:kern w:val="0"/>
          <w:sz w:val="32"/>
          <w:szCs w:val="32"/>
        </w:rPr>
        <w:t>各单位所申报课程要体现现代教育思想，符合科学性、先进性和教学教学的普遍规律，具有鲜明特色，并能恰当运用现代教育技术、先进的教学方法与手段，教学效果显著，具有示范性和辐射推广作用。</w:t>
      </w:r>
    </w:p>
    <w:p>
      <w:pPr>
        <w:spacing w:line="600" w:lineRule="exact"/>
        <w:ind w:firstLine="640" w:firstLineChars="200"/>
        <w:rPr>
          <w:rFonts w:eastAsia="仿宋_GB2312"/>
          <w:kern w:val="0"/>
          <w:sz w:val="32"/>
          <w:szCs w:val="32"/>
        </w:rPr>
      </w:pPr>
      <w:r>
        <w:rPr>
          <w:rFonts w:hint="eastAsia" w:ascii="仿宋_GB2312" w:hAnsi="仿宋_GB2312" w:eastAsia="仿宋_GB2312" w:cs="仿宋_GB2312"/>
          <w:sz w:val="32"/>
          <w:szCs w:val="32"/>
        </w:rPr>
        <w:t>校级青马工作小组</w:t>
      </w:r>
      <w:r>
        <w:rPr>
          <w:rFonts w:eastAsia="仿宋_GB2312"/>
          <w:kern w:val="0"/>
          <w:sz w:val="32"/>
          <w:szCs w:val="32"/>
        </w:rPr>
        <w:t>按照</w:t>
      </w:r>
      <w:r>
        <w:rPr>
          <w:rFonts w:hint="eastAsia" w:ascii="楷体_GB2312" w:hAnsi="楷体_GB2312" w:eastAsia="楷体_GB2312" w:cs="楷体_GB2312"/>
          <w:b/>
          <w:bCs/>
          <w:color w:val="000000"/>
          <w:kern w:val="0"/>
          <w:sz w:val="32"/>
          <w:szCs w:val="32"/>
          <w:u w:color="000000"/>
        </w:rPr>
        <w:t>课程内容、教学方法与手段、教学资源保障、教学能力基础、课程评估方法</w:t>
      </w:r>
      <w:r>
        <w:rPr>
          <w:rFonts w:hint="eastAsia" w:eastAsia="仿宋_GB2312"/>
          <w:kern w:val="0"/>
          <w:sz w:val="32"/>
          <w:szCs w:val="32"/>
        </w:rPr>
        <w:t>五</w:t>
      </w:r>
      <w:r>
        <w:rPr>
          <w:rFonts w:eastAsia="仿宋_GB2312"/>
          <w:kern w:val="0"/>
          <w:sz w:val="32"/>
          <w:szCs w:val="32"/>
        </w:rPr>
        <w:t>个方面进行评审，</w:t>
      </w:r>
      <w:r>
        <w:rPr>
          <w:rFonts w:hint="eastAsia" w:eastAsia="仿宋_GB2312"/>
          <w:kern w:val="0"/>
          <w:sz w:val="32"/>
          <w:szCs w:val="32"/>
        </w:rPr>
        <w:t>具体标准及评分</w:t>
      </w:r>
      <w:r>
        <w:rPr>
          <w:rFonts w:eastAsia="仿宋_GB2312"/>
          <w:kern w:val="0"/>
          <w:sz w:val="32"/>
          <w:szCs w:val="32"/>
        </w:rPr>
        <w:t>说明细述如下：</w:t>
      </w:r>
    </w:p>
    <w:p>
      <w:pPr>
        <w:pStyle w:val="9"/>
        <w:framePr w:wrap="auto" w:vAnchor="margin" w:hAnchor="text" w:yAlign="inline"/>
        <w:spacing w:line="600" w:lineRule="exact"/>
        <w:ind w:firstLine="643"/>
        <w:rPr>
          <w:rFonts w:ascii="楷体_GB2312" w:hAnsi="楷体_GB2312" w:eastAsia="楷体_GB2312" w:cs="楷体_GB2312"/>
          <w:b/>
          <w:bCs/>
          <w:sz w:val="32"/>
          <w:szCs w:val="32"/>
        </w:rPr>
      </w:pPr>
      <w:r>
        <w:rPr>
          <w:rFonts w:ascii="楷体_GB2312" w:hAnsi="楷体_GB2312" w:eastAsia="楷体_GB2312" w:cs="楷体_GB2312"/>
          <w:b/>
          <w:bCs/>
          <w:sz w:val="32"/>
          <w:szCs w:val="32"/>
          <w:lang w:val="zh-TW" w:eastAsia="zh-TW"/>
        </w:rPr>
        <w:t>（一）</w:t>
      </w:r>
      <w:r>
        <w:rPr>
          <w:rFonts w:hint="eastAsia" w:ascii="楷体_GB2312" w:hAnsi="楷体_GB2312" w:eastAsia="楷体_GB2312" w:cs="楷体_GB2312"/>
          <w:b/>
          <w:bCs/>
          <w:sz w:val="32"/>
          <w:szCs w:val="32"/>
          <w:lang w:val="zh-TW"/>
        </w:rPr>
        <w:t>院级精品课程【100分】</w:t>
      </w:r>
    </w:p>
    <w:p>
      <w:pPr>
        <w:pStyle w:val="9"/>
        <w:framePr w:wrap="auto" w:vAnchor="margin" w:hAnchor="text" w:yAlign="inline"/>
        <w:spacing w:line="600" w:lineRule="exact"/>
        <w:ind w:firstLine="643"/>
        <w:rPr>
          <w:color w:val="auto"/>
          <w:kern w:val="2"/>
          <w:sz w:val="32"/>
          <w:szCs w:val="32"/>
        </w:rPr>
      </w:pPr>
      <w:r>
        <w:rPr>
          <w:rFonts w:hint="eastAsia"/>
          <w:color w:val="auto"/>
          <w:kern w:val="2"/>
          <w:sz w:val="32"/>
          <w:szCs w:val="32"/>
        </w:rPr>
        <w:t>1. 课程内容</w:t>
      </w:r>
      <w:r>
        <w:rPr>
          <w:rFonts w:hint="eastAsia" w:ascii="楷体_GB2312" w:hAnsi="楷体_GB2312" w:eastAsia="楷体_GB2312" w:cs="楷体_GB2312"/>
          <w:b/>
          <w:bCs/>
          <w:sz w:val="32"/>
          <w:szCs w:val="32"/>
          <w:lang w:val="zh-TW"/>
        </w:rPr>
        <w:t>【25分】：</w:t>
      </w:r>
    </w:p>
    <w:p>
      <w:pPr>
        <w:spacing w:line="600" w:lineRule="exact"/>
        <w:ind w:firstLine="660"/>
        <w:rPr>
          <w:rFonts w:eastAsia="仿宋_GB2312"/>
          <w:kern w:val="0"/>
          <w:sz w:val="32"/>
          <w:szCs w:val="32"/>
        </w:rPr>
      </w:pPr>
      <w:r>
        <w:rPr>
          <w:rFonts w:hint="eastAsia" w:eastAsia="仿宋_GB2312"/>
          <w:kern w:val="0"/>
          <w:sz w:val="32"/>
          <w:szCs w:val="32"/>
        </w:rPr>
        <w:t>（1）有课程总体设计，包括课程的性质与作用、课程建设的理念与思路，有明确的课程基本情况说明，内容包括主要目标和主要内容、课程类型和学时、教学方法与手段、教材和参考书目、实践能力培养以及特色介绍等基本信息，实施要点与目标参与对象明确，且具有一定的有效覆盖面</w:t>
      </w:r>
      <w:r>
        <w:rPr>
          <w:rFonts w:hint="eastAsia" w:ascii="楷体_GB2312" w:hAnsi="楷体_GB2312" w:eastAsia="楷体_GB2312" w:cs="楷体_GB2312"/>
          <w:b/>
          <w:bCs/>
          <w:color w:val="000000"/>
          <w:kern w:val="0"/>
          <w:sz w:val="32"/>
          <w:szCs w:val="32"/>
          <w:u w:color="000000"/>
          <w:lang w:val="zh-TW"/>
        </w:rPr>
        <w:t>【10分】</w:t>
      </w:r>
      <w:r>
        <w:rPr>
          <w:rFonts w:hint="eastAsia" w:eastAsia="仿宋_GB2312"/>
          <w:kern w:val="0"/>
          <w:sz w:val="32"/>
          <w:szCs w:val="32"/>
        </w:rPr>
        <w:t>；</w:t>
      </w:r>
    </w:p>
    <w:p>
      <w:pPr>
        <w:spacing w:line="600" w:lineRule="exact"/>
        <w:ind w:firstLine="660"/>
        <w:rPr>
          <w:rFonts w:eastAsia="仿宋_GB2312"/>
          <w:kern w:val="0"/>
          <w:sz w:val="32"/>
          <w:szCs w:val="32"/>
        </w:rPr>
      </w:pPr>
      <w:r>
        <w:rPr>
          <w:rFonts w:hint="eastAsia" w:eastAsia="仿宋_GB2312"/>
          <w:kern w:val="0"/>
          <w:sz w:val="32"/>
          <w:szCs w:val="32"/>
        </w:rPr>
        <w:t>（2）有明确学习目标说明，课程的重点突出，主次详略得当，专业课程和实训项目采用多种教学手段，培养学生实践能力、技能效果显著，</w:t>
      </w:r>
      <w:r>
        <w:rPr>
          <w:rFonts w:eastAsia="仿宋_GB2312"/>
          <w:kern w:val="0"/>
          <w:sz w:val="32"/>
          <w:szCs w:val="32"/>
        </w:rPr>
        <w:t>具有一定的</w:t>
      </w:r>
      <w:r>
        <w:rPr>
          <w:rFonts w:hint="eastAsia" w:eastAsia="仿宋_GB2312"/>
          <w:kern w:val="0"/>
          <w:sz w:val="32"/>
          <w:szCs w:val="32"/>
        </w:rPr>
        <w:t>开展</w:t>
      </w:r>
      <w:r>
        <w:rPr>
          <w:rFonts w:eastAsia="仿宋_GB2312"/>
          <w:kern w:val="0"/>
          <w:sz w:val="32"/>
          <w:szCs w:val="32"/>
        </w:rPr>
        <w:t>价值，有助于加强我院学生素质教育、培养并发展学生兴趣特长</w:t>
      </w:r>
      <w:r>
        <w:rPr>
          <w:rFonts w:hint="eastAsia" w:ascii="楷体_GB2312" w:hAnsi="楷体_GB2312" w:eastAsia="楷体_GB2312" w:cs="楷体_GB2312"/>
          <w:b/>
          <w:bCs/>
          <w:color w:val="000000"/>
          <w:kern w:val="0"/>
          <w:sz w:val="32"/>
          <w:szCs w:val="32"/>
          <w:u w:color="000000"/>
          <w:lang w:val="zh-TW"/>
        </w:rPr>
        <w:t>【10分】</w:t>
      </w:r>
      <w:r>
        <w:rPr>
          <w:rFonts w:hint="eastAsia" w:eastAsia="仿宋_GB2312"/>
          <w:kern w:val="0"/>
          <w:sz w:val="32"/>
          <w:szCs w:val="32"/>
        </w:rPr>
        <w:t>；</w:t>
      </w:r>
    </w:p>
    <w:p>
      <w:pPr>
        <w:spacing w:line="600" w:lineRule="exact"/>
        <w:ind w:firstLine="660"/>
        <w:rPr>
          <w:rFonts w:eastAsia="仿宋_GB2312"/>
          <w:kern w:val="0"/>
          <w:sz w:val="32"/>
          <w:szCs w:val="32"/>
        </w:rPr>
      </w:pPr>
      <w:r>
        <w:rPr>
          <w:rFonts w:hint="eastAsia" w:eastAsia="仿宋_GB2312"/>
          <w:kern w:val="0"/>
          <w:sz w:val="32"/>
          <w:szCs w:val="32"/>
        </w:rPr>
        <w:t>（3）处理好经典与现代、理论与实践的关系，重视在实践教学中培养学生的实践能力和创新能力，</w:t>
      </w:r>
      <w:r>
        <w:rPr>
          <w:rFonts w:eastAsia="仿宋_GB2312"/>
          <w:kern w:val="0"/>
          <w:sz w:val="32"/>
          <w:szCs w:val="32"/>
        </w:rPr>
        <w:t>具有一定的后续应用价值</w:t>
      </w:r>
      <w:r>
        <w:rPr>
          <w:rFonts w:hint="eastAsia" w:ascii="楷体_GB2312" w:hAnsi="楷体_GB2312" w:eastAsia="楷体_GB2312" w:cs="楷体_GB2312"/>
          <w:b/>
          <w:bCs/>
          <w:color w:val="000000"/>
          <w:kern w:val="0"/>
          <w:sz w:val="32"/>
          <w:szCs w:val="32"/>
          <w:u w:color="000000"/>
          <w:lang w:val="zh-TW"/>
        </w:rPr>
        <w:t>【5分】</w:t>
      </w:r>
      <w:r>
        <w:rPr>
          <w:rFonts w:eastAsia="仿宋_GB2312"/>
          <w:kern w:val="0"/>
          <w:sz w:val="32"/>
          <w:szCs w:val="32"/>
        </w:rPr>
        <w:t>。</w:t>
      </w:r>
    </w:p>
    <w:p>
      <w:pPr>
        <w:pStyle w:val="9"/>
        <w:framePr w:wrap="auto" w:vAnchor="margin" w:hAnchor="text" w:yAlign="inline"/>
        <w:spacing w:line="600" w:lineRule="exact"/>
        <w:ind w:firstLine="643"/>
        <w:rPr>
          <w:color w:val="auto"/>
          <w:kern w:val="2"/>
          <w:sz w:val="32"/>
          <w:szCs w:val="32"/>
        </w:rPr>
      </w:pPr>
      <w:r>
        <w:rPr>
          <w:rFonts w:hint="eastAsia"/>
          <w:color w:val="auto"/>
          <w:kern w:val="2"/>
          <w:sz w:val="32"/>
          <w:szCs w:val="32"/>
        </w:rPr>
        <w:t>2.</w:t>
      </w:r>
      <w:r>
        <w:rPr>
          <w:color w:val="auto"/>
          <w:kern w:val="2"/>
          <w:sz w:val="32"/>
          <w:szCs w:val="32"/>
        </w:rPr>
        <w:t xml:space="preserve"> </w:t>
      </w:r>
      <w:r>
        <w:rPr>
          <w:rFonts w:hint="eastAsia"/>
          <w:color w:val="auto"/>
          <w:kern w:val="2"/>
          <w:sz w:val="32"/>
          <w:szCs w:val="32"/>
        </w:rPr>
        <w:t>教学方法与手段</w:t>
      </w:r>
      <w:r>
        <w:rPr>
          <w:rFonts w:hint="eastAsia" w:ascii="楷体_GB2312" w:hAnsi="楷体_GB2312" w:eastAsia="楷体_GB2312" w:cs="楷体_GB2312"/>
          <w:b/>
          <w:bCs/>
          <w:sz w:val="32"/>
          <w:szCs w:val="32"/>
          <w:lang w:val="zh-TW"/>
        </w:rPr>
        <w:t>【20分】</w:t>
      </w:r>
      <w:r>
        <w:rPr>
          <w:color w:val="auto"/>
          <w:kern w:val="2"/>
          <w:sz w:val="32"/>
          <w:szCs w:val="32"/>
        </w:rPr>
        <w:t>：</w:t>
      </w:r>
    </w:p>
    <w:p>
      <w:pPr>
        <w:spacing w:line="600" w:lineRule="exact"/>
        <w:ind w:firstLine="660"/>
        <w:rPr>
          <w:rFonts w:eastAsia="仿宋_GB2312"/>
          <w:kern w:val="0"/>
          <w:sz w:val="32"/>
          <w:szCs w:val="32"/>
        </w:rPr>
      </w:pPr>
      <w:r>
        <w:rPr>
          <w:rFonts w:hint="eastAsia" w:eastAsia="仿宋_GB2312"/>
          <w:kern w:val="0"/>
          <w:sz w:val="32"/>
          <w:szCs w:val="32"/>
        </w:rPr>
        <w:t>（</w:t>
      </w:r>
      <w:r>
        <w:rPr>
          <w:rFonts w:hint="eastAsia" w:ascii="仿宋_GB2312" w:hAnsi="仿宋_GB2312" w:eastAsia="仿宋_GB2312" w:cs="仿宋_GB2312"/>
          <w:color w:val="auto"/>
          <w:kern w:val="2"/>
          <w:sz w:val="32"/>
          <w:szCs w:val="32"/>
          <w:u w:color="000000"/>
          <w:lang w:val="en-US" w:eastAsia="zh-CN" w:bidi="ar-SA"/>
        </w:rPr>
        <w:t>1</w:t>
      </w:r>
      <w:r>
        <w:rPr>
          <w:rFonts w:hint="eastAsia" w:eastAsia="仿宋_GB2312"/>
          <w:kern w:val="0"/>
          <w:sz w:val="32"/>
          <w:szCs w:val="32"/>
        </w:rPr>
        <w:t>）重视探究性学习、研究性学习，体现以学生为主体、以教师为主导的教育理念，能根据课程内容和学生特点，进行合理地教学设计（包括教学方法、教学手段、考核方式等），灵活运用案例分析、分组讨论、角色扮演、启发引导等教学方法，引导学生积极思考、乐于实践，有效调动学生学习积极性，促进学生学习能力发展，提高教学效果。</w:t>
      </w:r>
      <w:r>
        <w:rPr>
          <w:rFonts w:hint="eastAsia" w:ascii="楷体_GB2312" w:hAnsi="楷体_GB2312" w:eastAsia="楷体_GB2312" w:cs="楷体_GB2312"/>
          <w:b/>
          <w:bCs/>
          <w:color w:val="000000"/>
          <w:kern w:val="0"/>
          <w:sz w:val="32"/>
          <w:szCs w:val="32"/>
          <w:u w:color="000000"/>
          <w:lang w:val="zh-TW"/>
        </w:rPr>
        <w:t>【10分】；</w:t>
      </w:r>
    </w:p>
    <w:p>
      <w:pPr>
        <w:spacing w:line="600" w:lineRule="exact"/>
        <w:ind w:firstLine="660"/>
        <w:rPr>
          <w:rFonts w:eastAsia="仿宋_GB2312"/>
          <w:kern w:val="0"/>
          <w:sz w:val="32"/>
          <w:szCs w:val="32"/>
        </w:rPr>
      </w:pPr>
      <w:r>
        <w:rPr>
          <w:rFonts w:hint="eastAsia" w:eastAsia="仿宋_GB2312"/>
          <w:kern w:val="0"/>
          <w:sz w:val="32"/>
          <w:szCs w:val="32"/>
        </w:rPr>
        <w:t>（</w:t>
      </w:r>
      <w:r>
        <w:rPr>
          <w:rFonts w:hint="eastAsia" w:ascii="仿宋_GB2312" w:hAnsi="仿宋_GB2312" w:eastAsia="仿宋_GB2312" w:cs="仿宋_GB2312"/>
          <w:color w:val="auto"/>
          <w:kern w:val="2"/>
          <w:sz w:val="32"/>
          <w:szCs w:val="32"/>
          <w:u w:color="000000"/>
          <w:lang w:val="en-US" w:eastAsia="zh-CN" w:bidi="ar-SA"/>
        </w:rPr>
        <w:t>2</w:t>
      </w:r>
      <w:r>
        <w:rPr>
          <w:rFonts w:hint="eastAsia" w:eastAsia="仿宋_GB2312"/>
          <w:kern w:val="0"/>
          <w:sz w:val="32"/>
          <w:szCs w:val="32"/>
        </w:rPr>
        <w:t>）合理利用多媒体等现代教育技术和虚拟现实技术等仿真教学环境，优化教学过程，提高教学质量，取得实效</w:t>
      </w:r>
      <w:r>
        <w:rPr>
          <w:rFonts w:hint="eastAsia" w:ascii="楷体_GB2312" w:hAnsi="楷体_GB2312" w:eastAsia="楷体_GB2312" w:cs="楷体_GB2312"/>
          <w:b/>
          <w:bCs/>
          <w:color w:val="000000"/>
          <w:kern w:val="0"/>
          <w:sz w:val="32"/>
          <w:szCs w:val="32"/>
          <w:u w:color="000000"/>
          <w:lang w:val="zh-TW"/>
        </w:rPr>
        <w:t>【10分】</w:t>
      </w:r>
      <w:r>
        <w:rPr>
          <w:rFonts w:hint="eastAsia" w:eastAsia="仿宋_GB2312"/>
          <w:kern w:val="0"/>
          <w:sz w:val="32"/>
          <w:szCs w:val="32"/>
        </w:rPr>
        <w:t>。</w:t>
      </w:r>
    </w:p>
    <w:p>
      <w:pPr>
        <w:pStyle w:val="9"/>
        <w:framePr w:wrap="auto" w:vAnchor="margin" w:hAnchor="text" w:yAlign="inline"/>
        <w:spacing w:line="600" w:lineRule="exact"/>
        <w:ind w:firstLine="643"/>
        <w:rPr>
          <w:color w:val="auto"/>
          <w:kern w:val="2"/>
          <w:sz w:val="32"/>
          <w:szCs w:val="32"/>
        </w:rPr>
      </w:pPr>
      <w:r>
        <w:rPr>
          <w:rFonts w:hint="eastAsia"/>
          <w:color w:val="auto"/>
          <w:kern w:val="2"/>
          <w:sz w:val="32"/>
          <w:szCs w:val="32"/>
        </w:rPr>
        <w:t>3.</w:t>
      </w:r>
      <w:r>
        <w:rPr>
          <w:color w:val="auto"/>
          <w:kern w:val="2"/>
          <w:sz w:val="32"/>
          <w:szCs w:val="32"/>
        </w:rPr>
        <w:t xml:space="preserve"> </w:t>
      </w:r>
      <w:r>
        <w:rPr>
          <w:rFonts w:hint="eastAsia"/>
          <w:color w:val="auto"/>
          <w:kern w:val="2"/>
          <w:sz w:val="32"/>
          <w:szCs w:val="32"/>
        </w:rPr>
        <w:t>教学资源保障</w:t>
      </w:r>
      <w:r>
        <w:rPr>
          <w:rFonts w:hint="eastAsia" w:ascii="楷体_GB2312" w:hAnsi="楷体_GB2312" w:eastAsia="楷体_GB2312" w:cs="楷体_GB2312"/>
          <w:b/>
          <w:bCs/>
          <w:sz w:val="32"/>
          <w:szCs w:val="32"/>
          <w:lang w:val="zh-TW"/>
        </w:rPr>
        <w:t>【20分】</w:t>
      </w:r>
      <w:r>
        <w:rPr>
          <w:color w:val="auto"/>
          <w:kern w:val="2"/>
          <w:sz w:val="32"/>
          <w:szCs w:val="32"/>
        </w:rPr>
        <w:t>：</w:t>
      </w:r>
    </w:p>
    <w:p>
      <w:pPr>
        <w:spacing w:line="600" w:lineRule="exact"/>
        <w:ind w:firstLine="660"/>
        <w:rPr>
          <w:rFonts w:eastAsia="仿宋_GB2312"/>
          <w:kern w:val="0"/>
          <w:sz w:val="32"/>
          <w:szCs w:val="32"/>
        </w:rPr>
      </w:pPr>
      <w:r>
        <w:rPr>
          <w:rFonts w:hint="eastAsia" w:eastAsia="仿宋_GB2312"/>
          <w:kern w:val="0"/>
          <w:sz w:val="32"/>
          <w:szCs w:val="32"/>
        </w:rPr>
        <w:t>（</w:t>
      </w:r>
      <w:r>
        <w:rPr>
          <w:rFonts w:hint="eastAsia" w:ascii="仿宋_GB2312" w:hAnsi="仿宋_GB2312" w:eastAsia="仿宋_GB2312" w:cs="仿宋_GB2312"/>
          <w:color w:val="auto"/>
          <w:kern w:val="2"/>
          <w:sz w:val="32"/>
          <w:szCs w:val="32"/>
          <w:u w:color="000000"/>
          <w:lang w:val="en-US" w:eastAsia="zh-CN" w:bidi="ar-SA"/>
        </w:rPr>
        <w:t>1）教学材料包括在线资源和离线资源，在线资源主要包括：相关</w:t>
      </w:r>
      <w:r>
        <w:rPr>
          <w:rFonts w:hint="eastAsia" w:eastAsia="仿宋_GB2312"/>
          <w:kern w:val="0"/>
          <w:sz w:val="32"/>
          <w:szCs w:val="32"/>
        </w:rPr>
        <w:t>网络课程、专业学科网站、相关网上图书等；离线资源主要包括文本、图形图像、音频、视频、动画等多媒体资源【</w:t>
      </w:r>
      <w:r>
        <w:rPr>
          <w:rFonts w:hint="eastAsia" w:ascii="楷体_GB2312" w:hAnsi="楷体_GB2312" w:eastAsia="楷体_GB2312" w:cs="楷体_GB2312"/>
          <w:b/>
          <w:bCs/>
          <w:color w:val="000000"/>
          <w:kern w:val="0"/>
          <w:sz w:val="32"/>
          <w:szCs w:val="32"/>
          <w:u w:color="000000"/>
          <w:lang w:val="zh-TW"/>
        </w:rPr>
        <w:t>5分】</w:t>
      </w:r>
      <w:r>
        <w:rPr>
          <w:rFonts w:hint="eastAsia" w:eastAsia="仿宋_GB2312"/>
          <w:kern w:val="0"/>
          <w:sz w:val="32"/>
          <w:szCs w:val="32"/>
        </w:rPr>
        <w:t>；</w:t>
      </w:r>
    </w:p>
    <w:p>
      <w:pPr>
        <w:spacing w:line="600" w:lineRule="exact"/>
        <w:ind w:firstLine="660"/>
        <w:rPr>
          <w:rFonts w:eastAsia="仿宋_GB2312"/>
          <w:kern w:val="0"/>
          <w:sz w:val="32"/>
          <w:szCs w:val="32"/>
        </w:rPr>
      </w:pPr>
      <w:r>
        <w:rPr>
          <w:rFonts w:hint="eastAsia" w:eastAsia="仿宋_GB2312"/>
          <w:kern w:val="0"/>
          <w:sz w:val="32"/>
          <w:szCs w:val="32"/>
        </w:rPr>
        <w:t>（</w:t>
      </w:r>
      <w:r>
        <w:rPr>
          <w:rFonts w:hint="eastAsia" w:ascii="仿宋_GB2312" w:hAnsi="仿宋_GB2312" w:eastAsia="仿宋_GB2312" w:cs="仿宋_GB2312"/>
          <w:color w:val="auto"/>
          <w:kern w:val="2"/>
          <w:sz w:val="32"/>
          <w:szCs w:val="32"/>
          <w:u w:color="000000"/>
          <w:lang w:val="en-US" w:eastAsia="zh-CN" w:bidi="ar-SA"/>
        </w:rPr>
        <w:t>2</w:t>
      </w:r>
      <w:r>
        <w:rPr>
          <w:rFonts w:hint="eastAsia" w:eastAsia="仿宋_GB2312"/>
          <w:kern w:val="0"/>
          <w:sz w:val="32"/>
          <w:szCs w:val="32"/>
        </w:rPr>
        <w:t>）提供充分的相关教学材料，所提供的教学材料出处准备无误，没有无效链接；提供符合学情和课程目标的课前欣赏学习视频及相关资源，便于教学团队资源共享</w:t>
      </w:r>
      <w:r>
        <w:rPr>
          <w:rFonts w:hint="eastAsia" w:ascii="楷体_GB2312" w:hAnsi="楷体_GB2312" w:eastAsia="楷体_GB2312" w:cs="楷体_GB2312"/>
          <w:b/>
          <w:bCs/>
          <w:color w:val="000000"/>
          <w:kern w:val="0"/>
          <w:sz w:val="32"/>
          <w:szCs w:val="32"/>
          <w:u w:color="000000"/>
          <w:lang w:val="zh-TW"/>
        </w:rPr>
        <w:t>【10分】</w:t>
      </w:r>
      <w:r>
        <w:rPr>
          <w:rFonts w:hint="eastAsia" w:eastAsia="仿宋_GB2312"/>
          <w:kern w:val="0"/>
          <w:sz w:val="32"/>
          <w:szCs w:val="32"/>
        </w:rPr>
        <w:t>；</w:t>
      </w:r>
    </w:p>
    <w:p>
      <w:pPr>
        <w:spacing w:line="600" w:lineRule="exact"/>
        <w:ind w:firstLine="660"/>
        <w:rPr>
          <w:rFonts w:ascii="楷体_GB2312" w:hAnsi="楷体_GB2312" w:eastAsia="楷体_GB2312" w:cs="楷体_GB2312"/>
          <w:b/>
          <w:bCs/>
          <w:color w:val="000000"/>
          <w:kern w:val="0"/>
          <w:sz w:val="32"/>
          <w:szCs w:val="32"/>
          <w:u w:color="000000"/>
          <w:lang w:val="zh-TW"/>
        </w:rPr>
      </w:pPr>
      <w:r>
        <w:rPr>
          <w:rFonts w:hint="eastAsia" w:eastAsia="仿宋_GB2312"/>
          <w:kern w:val="0"/>
          <w:sz w:val="32"/>
          <w:szCs w:val="32"/>
        </w:rPr>
        <w:t>（</w:t>
      </w:r>
      <w:r>
        <w:rPr>
          <w:rFonts w:hint="eastAsia" w:ascii="仿宋_GB2312" w:hAnsi="仿宋_GB2312" w:eastAsia="仿宋_GB2312" w:cs="仿宋_GB2312"/>
          <w:color w:val="auto"/>
          <w:kern w:val="2"/>
          <w:sz w:val="32"/>
          <w:szCs w:val="32"/>
          <w:u w:color="000000"/>
          <w:lang w:val="en-US" w:eastAsia="zh-CN" w:bidi="ar-SA"/>
        </w:rPr>
        <w:t>3</w:t>
      </w:r>
      <w:r>
        <w:rPr>
          <w:rFonts w:hint="eastAsia" w:eastAsia="仿宋_GB2312"/>
          <w:kern w:val="0"/>
          <w:sz w:val="32"/>
          <w:szCs w:val="32"/>
        </w:rPr>
        <w:t>）有满足课程需要的校内（外）教学场地，如课室、实训场所等。</w:t>
      </w:r>
      <w:r>
        <w:rPr>
          <w:rFonts w:hint="eastAsia" w:ascii="楷体_GB2312" w:hAnsi="楷体_GB2312" w:eastAsia="楷体_GB2312" w:cs="楷体_GB2312"/>
          <w:b/>
          <w:bCs/>
          <w:color w:val="000000"/>
          <w:kern w:val="0"/>
          <w:sz w:val="32"/>
          <w:szCs w:val="32"/>
          <w:u w:color="000000"/>
          <w:lang w:val="zh-TW"/>
        </w:rPr>
        <w:t>【5分】</w:t>
      </w:r>
    </w:p>
    <w:p>
      <w:pPr>
        <w:spacing w:line="600" w:lineRule="exact"/>
        <w:ind w:firstLine="660"/>
        <w:rPr>
          <w:rFonts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教学能力基础【</w:t>
      </w:r>
      <w:r>
        <w:rPr>
          <w:rFonts w:hint="eastAsia" w:ascii="楷体_GB2312" w:hAnsi="楷体_GB2312" w:eastAsia="楷体_GB2312" w:cs="楷体_GB2312"/>
          <w:b/>
          <w:bCs/>
          <w:color w:val="000000"/>
          <w:kern w:val="0"/>
          <w:sz w:val="32"/>
          <w:szCs w:val="32"/>
          <w:u w:color="000000"/>
          <w:lang w:val="zh-TW"/>
        </w:rPr>
        <w:t>10分】</w:t>
      </w:r>
      <w:r>
        <w:rPr>
          <w:rFonts w:ascii="仿宋_GB2312" w:hAnsi="仿宋_GB2312" w:eastAsia="仿宋_GB2312" w:cs="仿宋_GB2312"/>
          <w:sz w:val="32"/>
          <w:szCs w:val="32"/>
        </w:rPr>
        <w:t>：</w:t>
      </w:r>
    </w:p>
    <w:p>
      <w:pPr>
        <w:spacing w:line="600" w:lineRule="exact"/>
        <w:ind w:firstLine="660"/>
        <w:rPr>
          <w:rFonts w:ascii="仿宋_GB2312" w:hAnsi="仿宋_GB2312" w:eastAsia="仿宋_GB2312" w:cs="仿宋_GB2312"/>
          <w:b/>
          <w:sz w:val="32"/>
          <w:szCs w:val="32"/>
        </w:rPr>
      </w:pPr>
      <w:r>
        <w:rPr>
          <w:rFonts w:hint="eastAsia" w:eastAsia="仿宋_GB2312"/>
          <w:kern w:val="0"/>
          <w:sz w:val="32"/>
          <w:szCs w:val="32"/>
        </w:rPr>
        <w:t>（</w:t>
      </w:r>
      <w:r>
        <w:rPr>
          <w:rFonts w:hint="eastAsia" w:ascii="仿宋_GB2312" w:hAnsi="仿宋_GB2312" w:eastAsia="仿宋_GB2312" w:cs="仿宋_GB2312"/>
          <w:color w:val="auto"/>
          <w:kern w:val="2"/>
          <w:sz w:val="32"/>
          <w:szCs w:val="32"/>
          <w:u w:color="000000"/>
          <w:lang w:val="en-US" w:eastAsia="zh-CN" w:bidi="ar-SA"/>
        </w:rPr>
        <w:t>1</w:t>
      </w:r>
      <w:r>
        <w:rPr>
          <w:rFonts w:hint="eastAsia" w:eastAsia="仿宋_GB2312"/>
          <w:kern w:val="0"/>
          <w:sz w:val="32"/>
          <w:szCs w:val="32"/>
        </w:rPr>
        <w:t>） 有与专业办学规模相适应、结构合理的专兼职师资队伍（教师/校友/学生），有关于课程开展的理论意义和实践意义，授课人及其承办团队有充分的能力与经验支撑该课程的顺利开展并如期完成</w:t>
      </w:r>
      <w:r>
        <w:rPr>
          <w:rFonts w:hint="eastAsia" w:ascii="仿宋_GB2312" w:hAnsi="仿宋_GB2312" w:eastAsia="仿宋_GB2312" w:cs="仿宋_GB2312"/>
          <w:b/>
          <w:sz w:val="32"/>
          <w:szCs w:val="32"/>
        </w:rPr>
        <w:t>【5分】；</w:t>
      </w:r>
    </w:p>
    <w:p>
      <w:pPr>
        <w:spacing w:line="600" w:lineRule="exact"/>
        <w:ind w:firstLine="660"/>
        <w:rPr>
          <w:rFonts w:eastAsia="黑体"/>
          <w:sz w:val="32"/>
          <w:szCs w:val="32"/>
        </w:rPr>
      </w:pPr>
      <w:r>
        <w:rPr>
          <w:rFonts w:hint="eastAsia" w:eastAsia="仿宋_GB2312"/>
          <w:kern w:val="0"/>
          <w:sz w:val="32"/>
          <w:szCs w:val="32"/>
        </w:rPr>
        <w:t>（</w:t>
      </w:r>
      <w:r>
        <w:rPr>
          <w:rFonts w:hint="eastAsia" w:ascii="仿宋_GB2312" w:hAnsi="仿宋_GB2312" w:eastAsia="仿宋_GB2312" w:cs="仿宋_GB2312"/>
          <w:color w:val="auto"/>
          <w:kern w:val="2"/>
          <w:sz w:val="32"/>
          <w:szCs w:val="32"/>
          <w:u w:color="000000"/>
          <w:lang w:val="en-US" w:eastAsia="zh-CN" w:bidi="ar-SA"/>
        </w:rPr>
        <w:t>2</w:t>
      </w:r>
      <w:r>
        <w:rPr>
          <w:rFonts w:hint="eastAsia" w:eastAsia="仿宋_GB2312"/>
          <w:kern w:val="0"/>
          <w:sz w:val="32"/>
          <w:szCs w:val="32"/>
        </w:rPr>
        <w:t>） 辐射效应高：校内学习、培训场地建设能满足学员研习与训练的需要，利用率高；个别还能对外承担师资培训，提供技术服务</w:t>
      </w:r>
      <w:r>
        <w:rPr>
          <w:rFonts w:hint="eastAsia" w:ascii="仿宋_GB2312" w:hAnsi="仿宋_GB2312" w:eastAsia="仿宋_GB2312" w:cs="仿宋_GB2312"/>
          <w:sz w:val="32"/>
          <w:szCs w:val="32"/>
        </w:rPr>
        <w:t>【</w:t>
      </w:r>
      <w:r>
        <w:rPr>
          <w:rFonts w:hint="eastAsia" w:ascii="楷体_GB2312" w:hAnsi="楷体_GB2312" w:eastAsia="楷体_GB2312" w:cs="楷体_GB2312"/>
          <w:b/>
          <w:bCs/>
          <w:color w:val="000000"/>
          <w:kern w:val="0"/>
          <w:sz w:val="32"/>
          <w:szCs w:val="32"/>
          <w:u w:color="000000"/>
          <w:lang w:val="zh-TW"/>
        </w:rPr>
        <w:t>5分】</w:t>
      </w:r>
      <w:r>
        <w:rPr>
          <w:rFonts w:hint="eastAsia" w:eastAsia="仿宋_GB2312"/>
          <w:kern w:val="0"/>
          <w:sz w:val="32"/>
          <w:szCs w:val="32"/>
        </w:rPr>
        <w:t>。</w:t>
      </w:r>
    </w:p>
    <w:p>
      <w:pPr>
        <w:spacing w:line="600" w:lineRule="exact"/>
        <w:ind w:firstLine="640" w:firstLineChars="200"/>
        <w:rPr>
          <w:rFonts w:eastAsia="仿宋_GB2312"/>
          <w:kern w:val="0"/>
          <w:sz w:val="32"/>
          <w:szCs w:val="32"/>
        </w:rPr>
      </w:pPr>
      <w:r>
        <w:rPr>
          <w:rFonts w:hint="eastAsia" w:ascii="仿宋_GB2312" w:hAnsi="仿宋_GB2312" w:eastAsia="仿宋_GB2312" w:cs="仿宋_GB2312"/>
          <w:color w:val="auto"/>
          <w:kern w:val="2"/>
          <w:sz w:val="32"/>
          <w:szCs w:val="32"/>
          <w:u w:color="000000"/>
          <w:lang w:val="en-US" w:eastAsia="zh-CN" w:bidi="ar-SA"/>
        </w:rPr>
        <w:t>5</w:t>
      </w:r>
      <w:r>
        <w:rPr>
          <w:rFonts w:hint="eastAsia" w:eastAsia="仿宋_GB2312"/>
          <w:kern w:val="0"/>
          <w:sz w:val="32"/>
          <w:szCs w:val="32"/>
        </w:rPr>
        <w:t>.</w:t>
      </w:r>
      <w:r>
        <w:rPr>
          <w:rFonts w:eastAsia="仿宋_GB2312"/>
          <w:kern w:val="0"/>
          <w:sz w:val="32"/>
          <w:szCs w:val="32"/>
        </w:rPr>
        <w:t xml:space="preserve"> </w:t>
      </w:r>
      <w:r>
        <w:rPr>
          <w:rFonts w:hint="eastAsia" w:eastAsia="仿宋_GB2312"/>
          <w:kern w:val="0"/>
          <w:sz w:val="32"/>
          <w:szCs w:val="32"/>
        </w:rPr>
        <w:t>课程的评估与优化方法</w:t>
      </w:r>
      <w:r>
        <w:rPr>
          <w:rFonts w:hint="eastAsia" w:ascii="楷体_GB2312" w:hAnsi="楷体_GB2312" w:eastAsia="楷体_GB2312" w:cs="楷体_GB2312"/>
          <w:b/>
          <w:bCs/>
          <w:color w:val="000000"/>
          <w:kern w:val="0"/>
          <w:sz w:val="32"/>
          <w:szCs w:val="32"/>
          <w:u w:color="000000"/>
          <w:lang w:val="zh-TW"/>
        </w:rPr>
        <w:t>【25分】</w:t>
      </w:r>
      <w:r>
        <w:rPr>
          <w:rFonts w:hint="eastAsia" w:ascii="仿宋_GB2312" w:hAnsi="仿宋_GB2312" w:eastAsia="仿宋_GB2312" w:cs="仿宋_GB2312"/>
          <w:sz w:val="32"/>
          <w:szCs w:val="32"/>
        </w:rPr>
        <w:t>：</w:t>
      </w:r>
    </w:p>
    <w:p>
      <w:pPr>
        <w:spacing w:line="600" w:lineRule="exact"/>
        <w:ind w:firstLine="660"/>
        <w:rPr>
          <w:rFonts w:eastAsia="仿宋_GB2312"/>
          <w:kern w:val="0"/>
          <w:sz w:val="32"/>
          <w:szCs w:val="32"/>
        </w:rPr>
      </w:pPr>
      <w:r>
        <w:rPr>
          <w:rFonts w:hint="eastAsia" w:eastAsia="仿宋_GB2312"/>
          <w:kern w:val="0"/>
          <w:sz w:val="32"/>
          <w:szCs w:val="32"/>
        </w:rPr>
        <w:t>（</w:t>
      </w:r>
      <w:r>
        <w:rPr>
          <w:rFonts w:hint="eastAsia" w:ascii="仿宋_GB2312" w:hAnsi="仿宋_GB2312" w:eastAsia="仿宋_GB2312" w:cs="仿宋_GB2312"/>
          <w:color w:val="auto"/>
          <w:kern w:val="2"/>
          <w:sz w:val="32"/>
          <w:szCs w:val="32"/>
          <w:u w:color="000000"/>
          <w:lang w:val="en-US" w:eastAsia="zh-CN" w:bidi="ar-SA"/>
        </w:rPr>
        <w:t>1</w:t>
      </w:r>
      <w:r>
        <w:rPr>
          <w:rFonts w:hint="eastAsia" w:eastAsia="仿宋_GB2312"/>
          <w:kern w:val="0"/>
          <w:sz w:val="32"/>
          <w:szCs w:val="32"/>
        </w:rPr>
        <w:t>） 学生评教：有开课前面向全校同学的需求问卷及需求分析报告，教学效果好，受到学生普遍欢迎；课程对应或相关的职业资格证书或专业技能水平证书获取率高，相应技能竞赛获奖率高</w:t>
      </w:r>
      <w:r>
        <w:rPr>
          <w:rFonts w:hint="eastAsia" w:ascii="楷体_GB2312" w:hAnsi="楷体_GB2312" w:eastAsia="楷体_GB2312" w:cs="楷体_GB2312"/>
          <w:b/>
          <w:bCs/>
          <w:color w:val="000000"/>
          <w:kern w:val="0"/>
          <w:sz w:val="32"/>
          <w:szCs w:val="32"/>
          <w:u w:color="000000"/>
          <w:lang w:val="zh-TW"/>
        </w:rPr>
        <w:t>【10分】</w:t>
      </w:r>
      <w:r>
        <w:rPr>
          <w:rFonts w:hint="eastAsia" w:eastAsia="仿宋_GB2312"/>
          <w:kern w:val="0"/>
          <w:sz w:val="32"/>
          <w:szCs w:val="32"/>
        </w:rPr>
        <w:t>；</w:t>
      </w:r>
    </w:p>
    <w:p>
      <w:pPr>
        <w:spacing w:line="600" w:lineRule="exact"/>
        <w:ind w:firstLine="660"/>
        <w:rPr>
          <w:rFonts w:eastAsia="仿宋_GB2312"/>
          <w:kern w:val="0"/>
          <w:sz w:val="32"/>
          <w:szCs w:val="32"/>
        </w:rPr>
      </w:pPr>
      <w:r>
        <w:rPr>
          <w:rFonts w:hint="eastAsia" w:eastAsia="仿宋_GB2312"/>
          <w:kern w:val="0"/>
          <w:sz w:val="32"/>
          <w:szCs w:val="32"/>
        </w:rPr>
        <w:t>（</w:t>
      </w:r>
      <w:r>
        <w:rPr>
          <w:rFonts w:hint="eastAsia" w:ascii="仿宋_GB2312" w:hAnsi="仿宋_GB2312" w:eastAsia="仿宋_GB2312" w:cs="仿宋_GB2312"/>
          <w:color w:val="auto"/>
          <w:kern w:val="2"/>
          <w:sz w:val="32"/>
          <w:szCs w:val="32"/>
          <w:u w:color="000000"/>
          <w:lang w:val="en-US" w:eastAsia="zh-CN" w:bidi="ar-SA"/>
        </w:rPr>
        <w:t>3</w:t>
      </w:r>
      <w:r>
        <w:rPr>
          <w:rFonts w:hint="eastAsia" w:eastAsia="仿宋_GB2312"/>
          <w:kern w:val="0"/>
          <w:sz w:val="32"/>
          <w:szCs w:val="32"/>
        </w:rPr>
        <w:t>） 课堂实录评价：课程教学档案齐全，有完整的教学活动记录和课程组定期的活动记录，有规范的课程教学质量监控制度和完备的教学检查记录，效果明显</w:t>
      </w:r>
      <w:r>
        <w:rPr>
          <w:rFonts w:hint="eastAsia" w:ascii="楷体_GB2312" w:hAnsi="楷体_GB2312" w:eastAsia="楷体_GB2312" w:cs="楷体_GB2312"/>
          <w:b/>
          <w:bCs/>
          <w:color w:val="000000"/>
          <w:kern w:val="0"/>
          <w:sz w:val="32"/>
          <w:szCs w:val="32"/>
          <w:u w:color="000000"/>
          <w:lang w:val="zh-TW"/>
        </w:rPr>
        <w:t>【15分】</w:t>
      </w:r>
      <w:r>
        <w:rPr>
          <w:rFonts w:hint="eastAsia" w:eastAsia="仿宋_GB2312"/>
          <w:kern w:val="0"/>
          <w:sz w:val="32"/>
          <w:szCs w:val="32"/>
        </w:rPr>
        <w:t>。</w:t>
      </w:r>
    </w:p>
    <w:p>
      <w:pPr>
        <w:pStyle w:val="9"/>
        <w:framePr w:wrap="auto" w:vAnchor="margin" w:hAnchor="text" w:yAlign="inline"/>
        <w:spacing w:line="600" w:lineRule="exact"/>
        <w:ind w:firstLine="643"/>
        <w:rPr>
          <w:rFonts w:ascii="楷体_GB2312" w:hAnsi="楷体_GB2312" w:eastAsia="楷体_GB2312" w:cs="楷体_GB2312"/>
          <w:b/>
          <w:bCs/>
          <w:sz w:val="32"/>
          <w:szCs w:val="32"/>
        </w:rPr>
      </w:pPr>
      <w:r>
        <w:rPr>
          <w:rFonts w:ascii="楷体_GB2312" w:hAnsi="楷体_GB2312" w:eastAsia="楷体_GB2312" w:cs="楷体_GB2312"/>
          <w:b/>
          <w:bCs/>
          <w:sz w:val="32"/>
          <w:szCs w:val="32"/>
          <w:lang w:val="zh-TW" w:eastAsia="zh-TW"/>
        </w:rPr>
        <w:t>（</w:t>
      </w:r>
      <w:r>
        <w:rPr>
          <w:rFonts w:hint="eastAsia" w:ascii="楷体_GB2312" w:hAnsi="楷体_GB2312" w:eastAsia="楷体_GB2312" w:cs="楷体_GB2312"/>
          <w:b/>
          <w:bCs/>
          <w:sz w:val="32"/>
          <w:szCs w:val="32"/>
          <w:lang w:val="zh-TW"/>
        </w:rPr>
        <w:t>二</w:t>
      </w:r>
      <w:r>
        <w:rPr>
          <w:rFonts w:ascii="楷体_GB2312" w:hAnsi="楷体_GB2312" w:eastAsia="楷体_GB2312" w:cs="楷体_GB2312"/>
          <w:b/>
          <w:bCs/>
          <w:sz w:val="32"/>
          <w:szCs w:val="32"/>
          <w:lang w:val="zh-TW" w:eastAsia="zh-TW"/>
        </w:rPr>
        <w:t>）</w:t>
      </w:r>
      <w:r>
        <w:rPr>
          <w:rFonts w:hint="eastAsia" w:ascii="楷体_GB2312" w:hAnsi="楷体_GB2312" w:eastAsia="楷体_GB2312" w:cs="楷体_GB2312"/>
          <w:b/>
          <w:bCs/>
          <w:sz w:val="32"/>
          <w:szCs w:val="32"/>
          <w:lang w:val="zh-TW"/>
        </w:rPr>
        <w:t>校级共享课程</w:t>
      </w:r>
    </w:p>
    <w:p>
      <w:pPr>
        <w:spacing w:line="600" w:lineRule="exact"/>
        <w:ind w:firstLine="640" w:firstLineChars="200"/>
        <w:rPr>
          <w:rFonts w:eastAsia="黑体"/>
          <w:sz w:val="32"/>
          <w:szCs w:val="32"/>
        </w:rPr>
      </w:pPr>
      <w:r>
        <w:rPr>
          <w:rFonts w:hint="eastAsia" w:ascii="仿宋_GB2312" w:hAnsi="仿宋_GB2312" w:eastAsia="仿宋_GB2312" w:cs="仿宋_GB2312"/>
          <w:sz w:val="32"/>
          <w:szCs w:val="32"/>
        </w:rPr>
        <w:t>校级青马工作小组</w:t>
      </w:r>
      <w:r>
        <w:rPr>
          <w:rFonts w:hint="eastAsia" w:eastAsia="仿宋_GB2312"/>
          <w:kern w:val="0"/>
          <w:sz w:val="32"/>
          <w:szCs w:val="32"/>
        </w:rPr>
        <w:t>将在院级精品课程评分的基础上，通过现场说课形式集中回应面向全校同学的需求调研情况，评委将视其对于全校其他院级青马学员的通识需求情况进行评审，预通过的项目现场必须得到至少三个院级的安排意向才最终通过并立项。</w:t>
      </w:r>
    </w:p>
    <w:p>
      <w:pPr>
        <w:rPr>
          <w:rFonts w:eastAsia="黑体"/>
          <w:sz w:val="32"/>
          <w:szCs w:val="32"/>
        </w:rPr>
      </w:pPr>
    </w:p>
    <w:p>
      <w:pPr>
        <w:rPr>
          <w:rFonts w:eastAsia="黑体"/>
          <w:sz w:val="32"/>
          <w:szCs w:val="32"/>
        </w:rPr>
      </w:pPr>
    </w:p>
    <w:p>
      <w:pPr>
        <w:rPr>
          <w:rFonts w:eastAsia="黑体"/>
          <w:sz w:val="32"/>
          <w:szCs w:val="32"/>
        </w:rPr>
      </w:pPr>
      <w:r>
        <w:rPr>
          <w:rFonts w:eastAsia="黑体"/>
          <w:sz w:val="32"/>
          <w:szCs w:val="32"/>
        </w:rPr>
        <w:t>附件</w:t>
      </w:r>
      <w:r>
        <w:rPr>
          <w:rFonts w:hint="eastAsia" w:eastAsia="黑体"/>
          <w:sz w:val="32"/>
          <w:szCs w:val="32"/>
        </w:rPr>
        <w:t>3</w:t>
      </w:r>
    </w:p>
    <w:p>
      <w:pPr>
        <w:rPr>
          <w:rFonts w:eastAsia="黑体"/>
          <w:sz w:val="32"/>
          <w:szCs w:val="32"/>
        </w:rPr>
      </w:pPr>
      <w:r>
        <w:rPr>
          <w:rFonts w:eastAsia="黑体"/>
          <w:sz w:val="32"/>
          <w:szCs w:val="32"/>
        </w:rPr>
        <w:t>编号</w:t>
      </w:r>
      <w:r>
        <w:rPr>
          <w:rFonts w:hint="eastAsia" w:eastAsia="黑体"/>
          <w:sz w:val="32"/>
          <w:szCs w:val="32"/>
        </w:rPr>
        <w:t>：</w:t>
      </w:r>
      <w:r>
        <w:rPr>
          <w:rFonts w:eastAsia="楷体_GB2312"/>
          <w:sz w:val="36"/>
          <w:u w:val="single"/>
        </w:rPr>
        <w:t xml:space="preserve">    </w:t>
      </w:r>
    </w:p>
    <w:p>
      <w:pPr>
        <w:rPr>
          <w:sz w:val="31"/>
          <w:szCs w:val="31"/>
        </w:rPr>
      </w:pPr>
    </w:p>
    <w:p>
      <w:pPr>
        <w:jc w:val="center"/>
        <w:rPr>
          <w:rFonts w:ascii="方正小标宋简体" w:eastAsia="方正小标宋简体"/>
          <w:sz w:val="44"/>
          <w:szCs w:val="44"/>
        </w:rPr>
      </w:pPr>
      <w:r>
        <w:rPr>
          <w:rFonts w:hint="eastAsia" w:ascii="方正小标宋简体" w:eastAsia="方正小标宋简体"/>
          <w:sz w:val="44"/>
          <w:szCs w:val="44"/>
        </w:rPr>
        <w:t>东莞理工学院城市学院“青马两库”</w:t>
      </w:r>
    </w:p>
    <w:p>
      <w:pPr>
        <w:jc w:val="center"/>
        <w:rPr>
          <w:rFonts w:ascii="方正小标宋简体" w:eastAsia="方正小标宋简体"/>
          <w:sz w:val="44"/>
          <w:szCs w:val="44"/>
        </w:rPr>
      </w:pPr>
      <w:r>
        <w:rPr>
          <w:rFonts w:hint="eastAsia" w:ascii="方正小标宋简体" w:eastAsia="方正小标宋简体"/>
          <w:sz w:val="44"/>
          <w:szCs w:val="44"/>
        </w:rPr>
        <w:t>课程申报书</w:t>
      </w:r>
    </w:p>
    <w:p>
      <w:pPr>
        <w:jc w:val="center"/>
        <w:rPr>
          <w:rFonts w:ascii="方正小标宋简体" w:eastAsia="方正小标宋简体"/>
          <w:sz w:val="50"/>
          <w:szCs w:val="50"/>
        </w:rPr>
      </w:pPr>
    </w:p>
    <w:p>
      <w:pPr>
        <w:rPr>
          <w:sz w:val="31"/>
          <w:szCs w:val="31"/>
        </w:rPr>
      </w:pPr>
    </w:p>
    <w:p>
      <w:pPr>
        <w:rPr>
          <w:sz w:val="31"/>
          <w:szCs w:val="31"/>
        </w:rPr>
      </w:pPr>
    </w:p>
    <w:p>
      <w:pPr>
        <w:rPr>
          <w:sz w:val="31"/>
          <w:szCs w:val="31"/>
        </w:rPr>
      </w:pPr>
    </w:p>
    <w:p>
      <w:pPr>
        <w:ind w:firstLine="1080" w:firstLineChars="300"/>
        <w:rPr>
          <w:rFonts w:ascii="仿宋_GB2312" w:eastAsia="仿宋_GB2312"/>
          <w:sz w:val="36"/>
          <w:szCs w:val="36"/>
        </w:rPr>
      </w:pPr>
      <w:r>
        <w:rPr>
          <w:rFonts w:hint="eastAsia" w:eastAsia="楷体_GB2312"/>
          <w:sz w:val="36"/>
          <w:szCs w:val="36"/>
        </w:rPr>
        <w:t>课程</w:t>
      </w:r>
      <w:r>
        <w:rPr>
          <w:rFonts w:eastAsia="楷体_GB2312"/>
          <w:sz w:val="36"/>
          <w:szCs w:val="36"/>
        </w:rPr>
        <w:t>名称</w:t>
      </w:r>
      <w:r>
        <w:rPr>
          <w:rFonts w:hint="eastAsia" w:eastAsia="楷体_GB2312"/>
          <w:sz w:val="36"/>
          <w:szCs w:val="36"/>
        </w:rPr>
        <w:t>：</w:t>
      </w:r>
      <w:r>
        <w:rPr>
          <w:rFonts w:hint="eastAsia" w:eastAsia="楷体_GB2312"/>
          <w:color w:val="FFFFFF"/>
          <w:sz w:val="36"/>
          <w:szCs w:val="36"/>
          <w:u w:val="single" w:color="000000"/>
        </w:rPr>
        <w:t>111111111111111111111111</w:t>
      </w:r>
    </w:p>
    <w:p>
      <w:pPr>
        <w:ind w:firstLine="1080" w:firstLineChars="300"/>
        <w:rPr>
          <w:rFonts w:ascii="楷体_GB2312" w:eastAsia="楷体_GB2312"/>
          <w:sz w:val="36"/>
          <w:szCs w:val="36"/>
          <w:u w:val="single"/>
        </w:rPr>
      </w:pPr>
      <w:r>
        <w:rPr>
          <w:rFonts w:eastAsia="楷体_GB2312"/>
          <w:sz w:val="36"/>
          <w:szCs w:val="36"/>
        </w:rPr>
        <w:t>申报单位</w:t>
      </w:r>
      <w:r>
        <w:rPr>
          <w:rFonts w:hint="eastAsia" w:eastAsia="楷体_GB2312"/>
          <w:sz w:val="36"/>
          <w:szCs w:val="36"/>
        </w:rPr>
        <w:t>：</w:t>
      </w:r>
      <w:r>
        <w:rPr>
          <w:rFonts w:hint="eastAsia" w:eastAsia="楷体_GB2312"/>
          <w:color w:val="FFFFFF"/>
          <w:sz w:val="36"/>
          <w:szCs w:val="36"/>
          <w:u w:val="single" w:color="000000"/>
        </w:rPr>
        <w:t>111111111111111111111111</w:t>
      </w:r>
    </w:p>
    <w:p>
      <w:pPr>
        <w:ind w:firstLine="1080" w:firstLineChars="300"/>
        <w:rPr>
          <w:rFonts w:ascii="楷体_GB2312" w:eastAsia="楷体_GB2312"/>
          <w:sz w:val="36"/>
          <w:szCs w:val="36"/>
          <w:u w:val="single"/>
        </w:rPr>
      </w:pPr>
      <w:r>
        <w:rPr>
          <w:rFonts w:hint="eastAsia" w:ascii="楷体_GB2312" w:eastAsia="楷体_GB2312"/>
          <w:sz w:val="36"/>
          <w:szCs w:val="36"/>
        </w:rPr>
        <w:t>申报类别：</w:t>
      </w:r>
      <w:r>
        <w:rPr>
          <w:rFonts w:hint="eastAsia" w:eastAsia="楷体_GB2312"/>
          <w:color w:val="FFFFFF"/>
          <w:sz w:val="36"/>
          <w:szCs w:val="36"/>
          <w:u w:val="single" w:color="000000"/>
        </w:rPr>
        <w:t>1</w:t>
      </w:r>
      <w:r>
        <w:rPr>
          <w:rFonts w:hint="eastAsia" w:ascii="楷体" w:hAnsi="楷体" w:eastAsia="楷体"/>
          <w:sz w:val="24"/>
          <w:szCs w:val="36"/>
          <w:u w:val="single" w:color="000000"/>
        </w:rPr>
        <w:t xml:space="preserve">□校级共享课程 </w:t>
      </w:r>
      <w:r>
        <w:rPr>
          <w:rFonts w:ascii="楷体" w:hAnsi="楷体" w:eastAsia="楷体"/>
          <w:sz w:val="24"/>
          <w:szCs w:val="36"/>
          <w:u w:val="single" w:color="000000"/>
        </w:rPr>
        <w:t xml:space="preserve"> </w:t>
      </w:r>
      <w:r>
        <w:rPr>
          <w:rFonts w:hint="eastAsia" w:ascii="楷体" w:hAnsi="楷体" w:eastAsia="楷体"/>
          <w:sz w:val="24"/>
          <w:szCs w:val="36"/>
          <w:u w:val="single" w:color="000000"/>
        </w:rPr>
        <w:t xml:space="preserve"> □院级精品课程 </w:t>
      </w:r>
    </w:p>
    <w:p>
      <w:pPr>
        <w:ind w:firstLine="1080" w:firstLineChars="300"/>
        <w:rPr>
          <w:rFonts w:ascii="楷体_GB2312" w:eastAsia="楷体_GB2312"/>
          <w:sz w:val="36"/>
          <w:szCs w:val="36"/>
          <w:u w:val="single"/>
        </w:rPr>
      </w:pPr>
      <w:r>
        <w:rPr>
          <w:rFonts w:eastAsia="楷体_GB2312"/>
          <w:sz w:val="36"/>
          <w:szCs w:val="36"/>
        </w:rPr>
        <w:t>申报</w:t>
      </w:r>
      <w:r>
        <w:rPr>
          <w:rFonts w:hint="eastAsia" w:eastAsia="楷体_GB2312"/>
          <w:sz w:val="36"/>
          <w:szCs w:val="36"/>
        </w:rPr>
        <w:t>日期：</w:t>
      </w:r>
      <w:r>
        <w:rPr>
          <w:rFonts w:hint="eastAsia" w:eastAsia="楷体_GB2312"/>
          <w:color w:val="FFFFFF"/>
          <w:sz w:val="36"/>
          <w:szCs w:val="36"/>
          <w:u w:val="single" w:color="000000"/>
        </w:rPr>
        <w:t xml:space="preserve">111111111111111111111111  </w:t>
      </w:r>
      <w:r>
        <w:rPr>
          <w:rFonts w:hint="eastAsia" w:ascii="楷体_GB2312" w:eastAsia="楷体_GB2312"/>
          <w:sz w:val="36"/>
          <w:szCs w:val="36"/>
          <w:u w:val="single"/>
        </w:rPr>
        <w:t xml:space="preserve">    </w:t>
      </w:r>
      <w:r>
        <w:rPr>
          <w:rFonts w:ascii="楷体_GB2312" w:eastAsia="楷体_GB2312"/>
          <w:sz w:val="36"/>
          <w:szCs w:val="36"/>
          <w:u w:val="single"/>
        </w:rPr>
        <w:t xml:space="preserve">     </w:t>
      </w:r>
      <w:r>
        <w:rPr>
          <w:rFonts w:hint="eastAsia" w:ascii="楷体_GB2312" w:eastAsia="楷体_GB2312"/>
          <w:sz w:val="36"/>
          <w:szCs w:val="36"/>
          <w:u w:val="single"/>
        </w:rPr>
        <w:t xml:space="preserve">             </w:t>
      </w:r>
    </w:p>
    <w:p>
      <w:pPr>
        <w:rPr>
          <w:rFonts w:eastAsia="楷体_GB2312"/>
          <w:sz w:val="36"/>
          <w:szCs w:val="36"/>
        </w:rPr>
      </w:pPr>
      <w:r>
        <w:rPr>
          <w:rFonts w:hint="eastAsia" w:eastAsia="楷体_GB2312"/>
          <w:sz w:val="36"/>
          <w:szCs w:val="36"/>
        </w:rPr>
        <w:t xml:space="preserve"> </w:t>
      </w:r>
    </w:p>
    <w:p>
      <w:pPr>
        <w:rPr>
          <w:rFonts w:eastAsia="楷体_GB2312"/>
          <w:sz w:val="36"/>
          <w:szCs w:val="36"/>
        </w:rPr>
      </w:pPr>
    </w:p>
    <w:p>
      <w:pPr>
        <w:rPr>
          <w:rFonts w:eastAsia="楷体_GB2312"/>
          <w:sz w:val="36"/>
          <w:szCs w:val="36"/>
        </w:rPr>
      </w:pPr>
    </w:p>
    <w:p>
      <w:pPr>
        <w:jc w:val="center"/>
        <w:rPr>
          <w:rFonts w:ascii="方正小标宋简体" w:eastAsia="方正小标宋简体"/>
          <w:sz w:val="36"/>
          <w:szCs w:val="36"/>
        </w:rPr>
      </w:pPr>
      <w:r>
        <w:rPr>
          <w:rFonts w:hint="eastAsia" w:eastAsia="楷体_GB2312"/>
          <w:sz w:val="36"/>
          <w:szCs w:val="36"/>
        </w:rPr>
        <w:t>共青团东莞理工学院城市学院委员会</w:t>
      </w:r>
      <w:r>
        <w:rPr>
          <w:rFonts w:eastAsia="楷体_GB2312"/>
          <w:sz w:val="36"/>
          <w:szCs w:val="36"/>
        </w:rPr>
        <w:t>制</w:t>
      </w:r>
    </w:p>
    <w:p>
      <w:pPr>
        <w:spacing w:line="500" w:lineRule="exact"/>
        <w:jc w:val="center"/>
        <w:rPr>
          <w:rFonts w:ascii="方正小标宋简体" w:eastAsia="方正小标宋简体"/>
          <w:sz w:val="36"/>
          <w:szCs w:val="36"/>
        </w:rPr>
      </w:pPr>
    </w:p>
    <w:p>
      <w:pPr>
        <w:spacing w:line="343" w:lineRule="exact"/>
        <w:ind w:left="140"/>
        <w:rPr>
          <w:rFonts w:ascii="宋体" w:hAnsi="宋体" w:cs="宋体"/>
          <w:b/>
          <w:bCs/>
          <w:sz w:val="30"/>
          <w:szCs w:val="30"/>
        </w:rPr>
      </w:pPr>
    </w:p>
    <w:p>
      <w:pPr>
        <w:spacing w:line="500" w:lineRule="exact"/>
        <w:jc w:val="center"/>
        <w:rPr>
          <w:rFonts w:ascii="方正小标宋简体" w:eastAsia="方正小标宋简体"/>
          <w:sz w:val="36"/>
          <w:szCs w:val="36"/>
        </w:rPr>
      </w:pPr>
      <w:r>
        <w:rPr>
          <w:rFonts w:ascii="方正小标宋简体" w:eastAsia="方正小标宋简体"/>
          <w:sz w:val="36"/>
          <w:szCs w:val="36"/>
        </w:rPr>
        <w:t>申请人承诺</w:t>
      </w:r>
    </w:p>
    <w:p>
      <w:pPr>
        <w:spacing w:line="258" w:lineRule="exact"/>
        <w:rPr>
          <w:sz w:val="20"/>
        </w:rPr>
      </w:pPr>
    </w:p>
    <w:p>
      <w:pPr>
        <w:spacing w:line="500" w:lineRule="exact"/>
        <w:ind w:firstLine="560" w:firstLineChars="200"/>
        <w:rPr>
          <w:rFonts w:ascii="宋体" w:hAnsi="宋体"/>
          <w:sz w:val="28"/>
          <w:szCs w:val="28"/>
        </w:rPr>
      </w:pPr>
      <w:r>
        <w:rPr>
          <w:rFonts w:ascii="宋体" w:hAnsi="宋体"/>
          <w:sz w:val="28"/>
          <w:szCs w:val="28"/>
        </w:rPr>
        <w:t>我承诺对本申请书填写的各项内容的真实性负责，保证没有知识产权争议。如获准立项，我承诺以本申请书为有法律约束力的立项协议，遵守</w:t>
      </w:r>
      <w:r>
        <w:rPr>
          <w:rFonts w:hint="eastAsia" w:ascii="宋体" w:hAnsi="宋体"/>
          <w:sz w:val="28"/>
          <w:szCs w:val="28"/>
        </w:rPr>
        <w:t>校团委</w:t>
      </w:r>
      <w:r>
        <w:rPr>
          <w:rFonts w:ascii="宋体" w:hAnsi="宋体"/>
          <w:sz w:val="28"/>
          <w:szCs w:val="28"/>
        </w:rPr>
        <w:t>的相关规定，按计划认真开展研究工作，取得预期研究成果。</w:t>
      </w:r>
      <w:r>
        <w:rPr>
          <w:rFonts w:hint="eastAsia" w:ascii="宋体" w:hAnsi="宋体"/>
          <w:sz w:val="28"/>
          <w:szCs w:val="28"/>
        </w:rPr>
        <w:t>校团委“青马工程”委员会</w:t>
      </w:r>
      <w:r>
        <w:rPr>
          <w:rFonts w:ascii="宋体" w:hAnsi="宋体"/>
          <w:sz w:val="28"/>
          <w:szCs w:val="28"/>
        </w:rPr>
        <w:t>有权使用本申请书所有数据和资料。</w:t>
      </w:r>
    </w:p>
    <w:p>
      <w:pPr>
        <w:spacing w:line="500" w:lineRule="exact"/>
        <w:ind w:left="560"/>
        <w:rPr>
          <w:rFonts w:ascii="宋体" w:hAnsi="宋体"/>
          <w:sz w:val="28"/>
          <w:szCs w:val="28"/>
        </w:rPr>
      </w:pPr>
    </w:p>
    <w:p>
      <w:pPr>
        <w:spacing w:line="500" w:lineRule="exact"/>
        <w:ind w:left="560" w:right="1120"/>
        <w:jc w:val="center"/>
        <w:rPr>
          <w:rFonts w:ascii="宋体" w:hAnsi="宋体"/>
          <w:sz w:val="28"/>
          <w:szCs w:val="28"/>
        </w:rPr>
      </w:pPr>
      <w:r>
        <w:rPr>
          <w:rFonts w:hint="eastAsia" w:ascii="宋体" w:hAnsi="宋体"/>
          <w:sz w:val="28"/>
          <w:szCs w:val="28"/>
        </w:rPr>
        <w:t xml:space="preserve"> </w:t>
      </w:r>
      <w:r>
        <w:rPr>
          <w:rFonts w:ascii="宋体" w:hAnsi="宋体"/>
          <w:sz w:val="28"/>
          <w:szCs w:val="28"/>
        </w:rPr>
        <w:t xml:space="preserve">                               申请人（签章）：</w:t>
      </w:r>
    </w:p>
    <w:p>
      <w:pPr>
        <w:spacing w:line="500" w:lineRule="exact"/>
        <w:ind w:left="560" w:right="1120"/>
        <w:jc w:val="right"/>
        <w:rPr>
          <w:rFonts w:ascii="宋体" w:hAnsi="宋体"/>
          <w:sz w:val="28"/>
          <w:szCs w:val="28"/>
        </w:rPr>
      </w:pPr>
      <w:r>
        <w:rPr>
          <w:rFonts w:hint="eastAsia" w:ascii="宋体" w:hAnsi="宋体"/>
          <w:sz w:val="28"/>
          <w:szCs w:val="28"/>
        </w:rPr>
        <w:t xml:space="preserve"> </w:t>
      </w:r>
      <w:r>
        <w:rPr>
          <w:rFonts w:ascii="宋体" w:hAnsi="宋体"/>
          <w:sz w:val="28"/>
          <w:szCs w:val="28"/>
        </w:rPr>
        <w:t xml:space="preserve">                                     年</w:t>
      </w:r>
      <w:r>
        <w:rPr>
          <w:rFonts w:ascii="宋体" w:hAnsi="宋体"/>
          <w:sz w:val="28"/>
          <w:szCs w:val="28"/>
        </w:rPr>
        <w:tab/>
      </w:r>
      <w:r>
        <w:rPr>
          <w:rFonts w:ascii="宋体" w:hAnsi="宋体"/>
          <w:sz w:val="28"/>
          <w:szCs w:val="28"/>
        </w:rPr>
        <w:t xml:space="preserve"> 月  日</w:t>
      </w:r>
    </w:p>
    <w:p>
      <w:pPr>
        <w:spacing w:line="500" w:lineRule="exact"/>
        <w:ind w:firstLine="560" w:firstLineChars="200"/>
        <w:rPr>
          <w:rFonts w:ascii="宋体" w:hAnsi="宋体"/>
          <w:sz w:val="28"/>
          <w:szCs w:val="28"/>
        </w:rPr>
      </w:pPr>
    </w:p>
    <w:p>
      <w:pPr>
        <w:spacing w:line="500" w:lineRule="exact"/>
        <w:jc w:val="center"/>
        <w:rPr>
          <w:rFonts w:ascii="方正小标宋简体" w:eastAsia="方正小标宋简体"/>
          <w:sz w:val="36"/>
          <w:szCs w:val="36"/>
        </w:rPr>
      </w:pPr>
    </w:p>
    <w:p>
      <w:pPr>
        <w:spacing w:line="500" w:lineRule="exact"/>
        <w:jc w:val="center"/>
        <w:rPr>
          <w:rFonts w:ascii="方正小标宋简体" w:eastAsia="方正小标宋简体"/>
          <w:sz w:val="36"/>
          <w:szCs w:val="36"/>
        </w:rPr>
      </w:pPr>
      <w:r>
        <w:rPr>
          <w:rFonts w:hint="eastAsia" w:ascii="方正小标宋简体" w:eastAsia="方正小标宋简体"/>
          <w:sz w:val="36"/>
          <w:szCs w:val="36"/>
        </w:rPr>
        <w:t>填写说明</w:t>
      </w:r>
    </w:p>
    <w:p>
      <w:pPr>
        <w:numPr>
          <w:ilvl w:val="0"/>
          <w:numId w:val="7"/>
        </w:numPr>
        <w:spacing w:line="500" w:lineRule="exact"/>
        <w:ind w:firstLine="560" w:firstLineChars="200"/>
        <w:rPr>
          <w:rFonts w:ascii="宋体" w:hAnsi="宋体"/>
          <w:sz w:val="28"/>
          <w:szCs w:val="28"/>
        </w:rPr>
      </w:pPr>
      <w:r>
        <w:rPr>
          <w:rFonts w:hint="eastAsia" w:ascii="宋体" w:hAnsi="宋体"/>
          <w:sz w:val="28"/>
          <w:szCs w:val="28"/>
        </w:rPr>
        <w:t>填写申报书前，请在认真阅读《东莞理工学院城市学院青马工程“两库”课程申报指南》和本说明后按要求详细填写，注意填写规范。</w:t>
      </w:r>
    </w:p>
    <w:p>
      <w:pPr>
        <w:numPr>
          <w:ilvl w:val="0"/>
          <w:numId w:val="7"/>
        </w:numPr>
        <w:spacing w:line="500" w:lineRule="exact"/>
        <w:ind w:firstLine="560" w:firstLineChars="200"/>
        <w:rPr>
          <w:rFonts w:ascii="宋体" w:hAnsi="宋体"/>
          <w:sz w:val="28"/>
          <w:szCs w:val="28"/>
        </w:rPr>
      </w:pPr>
      <w:r>
        <w:rPr>
          <w:rFonts w:hint="eastAsia" w:ascii="宋体" w:hAnsi="宋体"/>
          <w:sz w:val="28"/>
          <w:szCs w:val="28"/>
        </w:rPr>
        <w:t>封面“编号”栏内容由校团委统一填写。</w:t>
      </w:r>
    </w:p>
    <w:p>
      <w:pPr>
        <w:spacing w:line="500" w:lineRule="exact"/>
        <w:ind w:firstLine="560" w:firstLineChars="200"/>
        <w:rPr>
          <w:rFonts w:ascii="宋体" w:hAnsi="宋体"/>
          <w:sz w:val="28"/>
          <w:szCs w:val="28"/>
        </w:rPr>
      </w:pPr>
      <w:r>
        <w:rPr>
          <w:rFonts w:hint="eastAsia" w:ascii="宋体" w:hAnsi="宋体"/>
          <w:sz w:val="28"/>
          <w:szCs w:val="28"/>
        </w:rPr>
        <w:t>3. 除“审批意见”部分手写填入外，其余栏目均采用计算机录入。字体要求为：“封面”部分为“仿宋_GB</w:t>
      </w:r>
      <w:r>
        <w:rPr>
          <w:rFonts w:hint="eastAsia"/>
          <w:sz w:val="28"/>
          <w:szCs w:val="28"/>
        </w:rPr>
        <w:t>2312</w:t>
      </w:r>
      <w:r>
        <w:rPr>
          <w:rFonts w:hint="eastAsia" w:ascii="宋体" w:hAnsi="宋体"/>
          <w:sz w:val="28"/>
          <w:szCs w:val="28"/>
        </w:rPr>
        <w:t>，</w:t>
      </w:r>
      <w:r>
        <w:rPr>
          <w:rFonts w:hint="eastAsia"/>
          <w:sz w:val="28"/>
          <w:szCs w:val="28"/>
        </w:rPr>
        <w:t>4</w:t>
      </w:r>
      <w:r>
        <w:rPr>
          <w:rFonts w:hint="eastAsia" w:ascii="宋体" w:hAnsi="宋体"/>
          <w:sz w:val="28"/>
          <w:szCs w:val="28"/>
        </w:rPr>
        <w:t>号字”；“课程基本情况”、“授课人情况”两部分为“仿宋_GB</w:t>
      </w:r>
      <w:r>
        <w:rPr>
          <w:rFonts w:hint="eastAsia"/>
          <w:sz w:val="28"/>
          <w:szCs w:val="28"/>
        </w:rPr>
        <w:t>2312</w:t>
      </w:r>
      <w:r>
        <w:rPr>
          <w:rFonts w:hint="eastAsia" w:ascii="宋体" w:hAnsi="宋体"/>
          <w:sz w:val="28"/>
          <w:szCs w:val="28"/>
        </w:rPr>
        <w:t>，</w:t>
      </w:r>
      <w:r>
        <w:rPr>
          <w:rFonts w:hint="eastAsia"/>
          <w:sz w:val="28"/>
          <w:szCs w:val="28"/>
        </w:rPr>
        <w:t>4</w:t>
      </w:r>
      <w:r>
        <w:rPr>
          <w:rFonts w:hint="eastAsia" w:ascii="宋体" w:hAnsi="宋体"/>
          <w:sz w:val="28"/>
          <w:szCs w:val="28"/>
        </w:rPr>
        <w:t>号字”；“课程大纲”、“结项预期成果情况表”两部分为“仿宋_GB</w:t>
      </w:r>
      <w:r>
        <w:rPr>
          <w:rFonts w:hint="eastAsia"/>
          <w:sz w:val="28"/>
          <w:szCs w:val="28"/>
        </w:rPr>
        <w:t>2312</w:t>
      </w:r>
      <w:r>
        <w:rPr>
          <w:rFonts w:hint="eastAsia" w:ascii="宋体" w:hAnsi="宋体"/>
          <w:sz w:val="28"/>
          <w:szCs w:val="28"/>
        </w:rPr>
        <w:t>，小</w:t>
      </w:r>
      <w:r>
        <w:rPr>
          <w:rFonts w:hint="eastAsia"/>
          <w:sz w:val="28"/>
          <w:szCs w:val="28"/>
        </w:rPr>
        <w:t>4</w:t>
      </w:r>
      <w:r>
        <w:rPr>
          <w:rFonts w:hint="eastAsia" w:ascii="宋体" w:hAnsi="宋体"/>
          <w:sz w:val="28"/>
          <w:szCs w:val="28"/>
        </w:rPr>
        <w:t>号字，单倍行距”。填写完毕后，请自行对文字内容稍作排版，力求申报书内容工整美观。</w:t>
      </w:r>
    </w:p>
    <w:p>
      <w:pPr>
        <w:spacing w:line="500" w:lineRule="exact"/>
        <w:ind w:firstLine="560" w:firstLineChars="200"/>
        <w:rPr>
          <w:sz w:val="28"/>
          <w:szCs w:val="28"/>
        </w:rPr>
      </w:pPr>
      <w:r>
        <w:rPr>
          <w:rFonts w:hint="eastAsia"/>
          <w:sz w:val="28"/>
          <w:szCs w:val="28"/>
        </w:rPr>
        <w:t>4. 课程类别可填写</w:t>
      </w:r>
      <w:r>
        <w:rPr>
          <w:rFonts w:hint="eastAsia" w:ascii="宋体" w:hAnsi="宋体"/>
          <w:sz w:val="28"/>
          <w:szCs w:val="28"/>
        </w:rPr>
        <w:t>“理论学习”、“社会实践”、“社会观察”、“红色教育”、“专项培训”、“交流研讨”，</w:t>
      </w:r>
      <w:r>
        <w:rPr>
          <w:rFonts w:hint="eastAsia"/>
          <w:sz w:val="28"/>
          <w:szCs w:val="28"/>
        </w:rPr>
        <w:t>由各院（系）视实际而定。</w:t>
      </w:r>
    </w:p>
    <w:p>
      <w:pPr>
        <w:spacing w:line="500" w:lineRule="exact"/>
        <w:ind w:firstLine="560" w:firstLineChars="200"/>
        <w:rPr>
          <w:sz w:val="28"/>
          <w:szCs w:val="28"/>
        </w:rPr>
      </w:pPr>
      <w:r>
        <w:rPr>
          <w:rFonts w:hint="eastAsia"/>
          <w:sz w:val="28"/>
          <w:szCs w:val="28"/>
        </w:rPr>
        <w:t>5. 课程负责人可以是老师、学生或校友。</w:t>
      </w:r>
    </w:p>
    <w:p>
      <w:pPr>
        <w:spacing w:line="500" w:lineRule="exact"/>
        <w:ind w:firstLine="560" w:firstLineChars="200"/>
        <w:rPr>
          <w:rFonts w:ascii="宋体" w:hAnsi="宋体"/>
          <w:sz w:val="28"/>
          <w:szCs w:val="28"/>
        </w:rPr>
      </w:pPr>
      <w:r>
        <w:rPr>
          <w:rFonts w:hint="eastAsia"/>
          <w:sz w:val="28"/>
          <w:szCs w:val="28"/>
        </w:rPr>
        <w:t xml:space="preserve">6. </w:t>
      </w:r>
      <w:r>
        <w:rPr>
          <w:rFonts w:hint="eastAsia" w:ascii="宋体" w:hAnsi="宋体"/>
          <w:sz w:val="28"/>
          <w:szCs w:val="28"/>
        </w:rPr>
        <w:t>用A</w:t>
      </w:r>
      <w:r>
        <w:rPr>
          <w:rFonts w:hint="eastAsia"/>
          <w:sz w:val="28"/>
          <w:szCs w:val="28"/>
        </w:rPr>
        <w:t>4</w:t>
      </w:r>
      <w:r>
        <w:rPr>
          <w:rFonts w:hint="eastAsia" w:ascii="宋体" w:hAnsi="宋体"/>
          <w:sz w:val="28"/>
          <w:szCs w:val="28"/>
        </w:rPr>
        <w:t>纸双面打印，左侧上下两钉装订，一式两份交校团委填写审批意见后，一份返回申报单位，另一份由校团委存档。</w:t>
      </w:r>
    </w:p>
    <w:p>
      <w:pPr>
        <w:rPr>
          <w:rFonts w:ascii="方正小标宋简体" w:eastAsia="方正小标宋简体"/>
          <w:sz w:val="42"/>
          <w:szCs w:val="42"/>
        </w:rPr>
      </w:pPr>
      <w:r>
        <w:rPr>
          <w:rFonts w:hint="eastAsia" w:ascii="方正小标宋简体" w:eastAsia="方正小标宋简体"/>
          <w:sz w:val="42"/>
          <w:szCs w:val="42"/>
        </w:rPr>
        <w:t>东莞理工学院城市学院“青马两库”课程申报书</w:t>
      </w:r>
    </w:p>
    <w:tbl>
      <w:tblPr>
        <w:tblStyle w:val="4"/>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775"/>
        <w:gridCol w:w="426"/>
        <w:gridCol w:w="1335"/>
        <w:gridCol w:w="1178"/>
        <w:gridCol w:w="1117"/>
        <w:gridCol w:w="740"/>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8" w:type="dxa"/>
            <w:gridSpan w:val="8"/>
          </w:tcPr>
          <w:p>
            <w:pPr>
              <w:spacing w:line="580" w:lineRule="exact"/>
              <w:rPr>
                <w:rFonts w:eastAsia="黑体"/>
                <w:szCs w:val="30"/>
              </w:rPr>
            </w:pPr>
            <w:r>
              <w:rPr>
                <w:rFonts w:eastAsia="黑体"/>
                <w:sz w:val="30"/>
                <w:szCs w:val="30"/>
              </w:rPr>
              <w:t>一、</w:t>
            </w:r>
            <w:r>
              <w:rPr>
                <w:rFonts w:hint="eastAsia" w:eastAsia="黑体"/>
                <w:sz w:val="30"/>
                <w:szCs w:val="30"/>
              </w:rPr>
              <w:t>课程</w:t>
            </w:r>
            <w:r>
              <w:rPr>
                <w:rFonts w:eastAsia="黑体"/>
                <w:sz w:val="30"/>
                <w:szCs w:val="30"/>
              </w:rPr>
              <w:t>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7" w:type="dxa"/>
            <w:vAlign w:val="center"/>
          </w:tcPr>
          <w:p>
            <w:pPr>
              <w:spacing w:line="580" w:lineRule="exact"/>
              <w:jc w:val="center"/>
              <w:rPr>
                <w:rFonts w:ascii="楷体_GB2312" w:eastAsia="楷体_GB2312"/>
                <w:sz w:val="28"/>
                <w:szCs w:val="28"/>
              </w:rPr>
            </w:pPr>
            <w:r>
              <w:rPr>
                <w:rFonts w:hint="eastAsia" w:ascii="楷体_GB2312" w:eastAsia="楷体_GB2312"/>
                <w:sz w:val="28"/>
                <w:szCs w:val="28"/>
              </w:rPr>
              <w:t>课程名称</w:t>
            </w:r>
          </w:p>
        </w:tc>
        <w:tc>
          <w:tcPr>
            <w:tcW w:w="7431" w:type="dxa"/>
            <w:gridSpan w:val="7"/>
            <w:vAlign w:val="center"/>
          </w:tcPr>
          <w:p>
            <w:pPr>
              <w:spacing w:line="580" w:lineRule="exact"/>
              <w:jc w:val="center"/>
              <w:rPr>
                <w:rFonts w:hint="eastAsia" w:ascii="楷体_GB2312" w:hAnsi="仿宋_GB2312" w:eastAsia="楷体_GB2312"/>
                <w:sz w:val="28"/>
                <w:szCs w:val="28"/>
              </w:rPr>
            </w:pPr>
            <w:r>
              <w:rPr>
                <w:rFonts w:hint="eastAsia" w:ascii="楷体_GB2312" w:hAnsi="宋体" w:eastAsia="楷体_GB2312"/>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7" w:type="dxa"/>
            <w:vAlign w:val="center"/>
          </w:tcPr>
          <w:p>
            <w:pPr>
              <w:spacing w:line="580" w:lineRule="exact"/>
              <w:jc w:val="center"/>
              <w:rPr>
                <w:rFonts w:ascii="楷体_GB2312" w:eastAsia="楷体_GB2312"/>
                <w:sz w:val="28"/>
                <w:szCs w:val="28"/>
              </w:rPr>
            </w:pPr>
            <w:r>
              <w:rPr>
                <w:rFonts w:hint="eastAsia" w:ascii="楷体_GB2312" w:eastAsia="楷体_GB2312"/>
                <w:sz w:val="28"/>
                <w:szCs w:val="28"/>
              </w:rPr>
              <w:t>课程类别</w:t>
            </w:r>
          </w:p>
        </w:tc>
        <w:tc>
          <w:tcPr>
            <w:tcW w:w="7431" w:type="dxa"/>
            <w:gridSpan w:val="7"/>
            <w:vAlign w:val="center"/>
          </w:tcPr>
          <w:p>
            <w:pPr>
              <w:spacing w:line="580" w:lineRule="exact"/>
              <w:jc w:val="center"/>
              <w:rPr>
                <w:rFonts w:ascii="楷体" w:hAnsi="楷体" w:eastAsia="楷体"/>
                <w:sz w:val="24"/>
                <w:szCs w:val="24"/>
              </w:rPr>
            </w:pPr>
            <w:r>
              <w:rPr>
                <w:rFonts w:hint="eastAsia" w:ascii="楷体" w:hAnsi="楷体" w:eastAsia="楷体"/>
                <w:sz w:val="24"/>
                <w:szCs w:val="24"/>
              </w:rPr>
              <w:t>□理论学习□社会实践□社会观察□红色教育□能力训练□交流研讨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7" w:type="dxa"/>
            <w:vAlign w:val="center"/>
          </w:tcPr>
          <w:p>
            <w:pPr>
              <w:spacing w:line="580" w:lineRule="exact"/>
              <w:jc w:val="center"/>
              <w:rPr>
                <w:rFonts w:ascii="楷体_GB2312" w:eastAsia="楷体_GB2312"/>
                <w:sz w:val="28"/>
                <w:szCs w:val="28"/>
              </w:rPr>
            </w:pPr>
            <w:r>
              <w:rPr>
                <w:rFonts w:hint="eastAsia" w:ascii="楷体_GB2312" w:eastAsia="楷体_GB2312"/>
                <w:sz w:val="28"/>
                <w:szCs w:val="28"/>
              </w:rPr>
              <w:t>所需课时</w:t>
            </w:r>
          </w:p>
        </w:tc>
        <w:tc>
          <w:tcPr>
            <w:tcW w:w="2536" w:type="dxa"/>
            <w:gridSpan w:val="3"/>
            <w:vAlign w:val="center"/>
          </w:tcPr>
          <w:p>
            <w:pPr>
              <w:spacing w:line="580" w:lineRule="exact"/>
              <w:jc w:val="center"/>
              <w:rPr>
                <w:rFonts w:ascii="楷体_GB2312" w:eastAsia="楷体_GB2312"/>
                <w:sz w:val="24"/>
              </w:rPr>
            </w:pPr>
            <w:r>
              <w:rPr>
                <w:rFonts w:hint="eastAsia" w:ascii="楷体_GB2312" w:hAnsi="仿宋_GB2312" w:eastAsia="楷体_GB2312"/>
                <w:sz w:val="28"/>
              </w:rPr>
              <w:t xml:space="preserve"> </w:t>
            </w:r>
          </w:p>
        </w:tc>
        <w:tc>
          <w:tcPr>
            <w:tcW w:w="2295" w:type="dxa"/>
            <w:gridSpan w:val="2"/>
            <w:vAlign w:val="center"/>
          </w:tcPr>
          <w:p>
            <w:pPr>
              <w:spacing w:line="580" w:lineRule="exact"/>
              <w:jc w:val="center"/>
              <w:rPr>
                <w:rFonts w:ascii="楷体_GB2312" w:eastAsia="楷体_GB2312"/>
                <w:sz w:val="28"/>
                <w:szCs w:val="28"/>
              </w:rPr>
            </w:pPr>
            <w:r>
              <w:rPr>
                <w:rFonts w:hint="eastAsia" w:ascii="楷体_GB2312" w:eastAsia="楷体_GB2312"/>
                <w:sz w:val="28"/>
                <w:szCs w:val="28"/>
              </w:rPr>
              <w:t>面向对象</w:t>
            </w:r>
          </w:p>
        </w:tc>
        <w:tc>
          <w:tcPr>
            <w:tcW w:w="2600" w:type="dxa"/>
            <w:gridSpan w:val="2"/>
            <w:vAlign w:val="center"/>
          </w:tcPr>
          <w:p>
            <w:pPr>
              <w:spacing w:line="580" w:lineRule="exact"/>
              <w:jc w:val="center"/>
              <w:rPr>
                <w:rFonts w:ascii="仿宋_GB2312" w:eastAsia="仿宋_GB2312"/>
                <w:szCs w:val="30"/>
              </w:rPr>
            </w:pPr>
            <w:r>
              <w:rPr>
                <w:rFonts w:hint="eastAsia" w:ascii="仿宋_GB2312" w:hAnsi="仿宋_GB2312" w:eastAsia="仿宋_GB2312"/>
                <w:sz w:val="28"/>
                <w:szCs w:val="3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2" w:type="dxa"/>
            <w:gridSpan w:val="2"/>
            <w:vAlign w:val="center"/>
          </w:tcPr>
          <w:p>
            <w:pPr>
              <w:spacing w:line="580" w:lineRule="exact"/>
              <w:jc w:val="center"/>
              <w:rPr>
                <w:rFonts w:ascii="楷体_GB2312" w:eastAsia="楷体_GB2312"/>
                <w:sz w:val="24"/>
              </w:rPr>
            </w:pPr>
            <w:r>
              <w:rPr>
                <w:rFonts w:hint="eastAsia" w:ascii="楷体_GB2312" w:eastAsia="楷体_GB2312"/>
                <w:sz w:val="28"/>
                <w:szCs w:val="28"/>
              </w:rPr>
              <w:t>可开展的时间段</w:t>
            </w:r>
            <w:r>
              <w:rPr>
                <w:rFonts w:hint="eastAsia" w:ascii="楷体_GB2312" w:hAnsi="仿宋_GB2312" w:eastAsia="楷体_GB2312"/>
                <w:sz w:val="28"/>
              </w:rPr>
              <w:t xml:space="preserve"> </w:t>
            </w:r>
          </w:p>
        </w:tc>
        <w:tc>
          <w:tcPr>
            <w:tcW w:w="6656" w:type="dxa"/>
            <w:gridSpan w:val="6"/>
            <w:vAlign w:val="center"/>
          </w:tcPr>
          <w:p>
            <w:pPr>
              <w:spacing w:line="580" w:lineRule="exact"/>
              <w:jc w:val="center"/>
              <w:rPr>
                <w:rFonts w:ascii="楷体" w:hAnsi="楷体" w:eastAsia="楷体"/>
                <w:sz w:val="24"/>
                <w:szCs w:val="24"/>
              </w:rPr>
            </w:pPr>
            <w:r>
              <w:rPr>
                <w:rFonts w:hint="eastAsia" w:ascii="楷体" w:hAnsi="楷体" w:eastAsia="楷体"/>
                <w:sz w:val="24"/>
                <w:szCs w:val="24"/>
              </w:rPr>
              <w:t xml:space="preserve">2020年 </w:t>
            </w:r>
            <w:r>
              <w:rPr>
                <w:rFonts w:ascii="楷体" w:hAnsi="楷体" w:eastAsia="楷体"/>
                <w:sz w:val="24"/>
                <w:szCs w:val="24"/>
              </w:rPr>
              <w:t xml:space="preserve"> </w:t>
            </w:r>
            <w:r>
              <w:rPr>
                <w:rFonts w:hint="eastAsia" w:ascii="楷体" w:hAnsi="楷体" w:eastAsia="楷体"/>
                <w:sz w:val="24"/>
                <w:szCs w:val="24"/>
              </w:rPr>
              <w:t xml:space="preserve">月 </w:t>
            </w:r>
            <w:r>
              <w:rPr>
                <w:rFonts w:ascii="楷体" w:hAnsi="楷体" w:eastAsia="楷体"/>
                <w:sz w:val="24"/>
                <w:szCs w:val="24"/>
              </w:rPr>
              <w:t xml:space="preserve"> </w:t>
            </w:r>
            <w:r>
              <w:rPr>
                <w:rFonts w:hint="eastAsia" w:ascii="楷体" w:hAnsi="楷体" w:eastAsia="楷体"/>
                <w:sz w:val="24"/>
                <w:szCs w:val="24"/>
              </w:rPr>
              <w:t>日——</w:t>
            </w:r>
            <w:r>
              <w:rPr>
                <w:rFonts w:ascii="楷体" w:hAnsi="楷体" w:eastAsia="楷体"/>
                <w:sz w:val="24"/>
                <w:szCs w:val="24"/>
              </w:rPr>
              <w:t xml:space="preserve">    </w:t>
            </w:r>
            <w:r>
              <w:rPr>
                <w:rFonts w:hint="eastAsia" w:ascii="楷体" w:hAnsi="楷体" w:eastAsia="楷体"/>
                <w:sz w:val="24"/>
                <w:szCs w:val="24"/>
              </w:rPr>
              <w:t xml:space="preserve">年 </w:t>
            </w:r>
            <w:r>
              <w:rPr>
                <w:rFonts w:ascii="楷体" w:hAnsi="楷体" w:eastAsia="楷体"/>
                <w:sz w:val="24"/>
                <w:szCs w:val="24"/>
              </w:rPr>
              <w:t xml:space="preserve"> </w:t>
            </w:r>
            <w:r>
              <w:rPr>
                <w:rFonts w:hint="eastAsia" w:ascii="楷体" w:hAnsi="楷体" w:eastAsia="楷体"/>
                <w:sz w:val="24"/>
                <w:szCs w:val="24"/>
              </w:rPr>
              <w:t xml:space="preserve">月 </w:t>
            </w:r>
            <w:r>
              <w:rPr>
                <w:rFonts w:ascii="楷体" w:hAnsi="楷体" w:eastAsia="楷体"/>
                <w:sz w:val="24"/>
                <w:szCs w:val="24"/>
              </w:rPr>
              <w:t xml:space="preserve"> </w:t>
            </w:r>
            <w:r>
              <w:rPr>
                <w:rFonts w:hint="eastAsia" w:ascii="楷体" w:hAnsi="楷体" w:eastAsia="楷体"/>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2" w:type="dxa"/>
            <w:gridSpan w:val="2"/>
            <w:vAlign w:val="center"/>
          </w:tcPr>
          <w:p>
            <w:pPr>
              <w:spacing w:line="580" w:lineRule="exact"/>
              <w:jc w:val="center"/>
              <w:rPr>
                <w:rFonts w:ascii="楷体_GB2312" w:eastAsia="楷体_GB2312"/>
                <w:sz w:val="28"/>
                <w:szCs w:val="28"/>
              </w:rPr>
            </w:pPr>
            <w:r>
              <w:rPr>
                <w:rFonts w:hint="eastAsia" w:ascii="楷体_GB2312" w:eastAsia="楷体_GB2312"/>
                <w:sz w:val="28"/>
                <w:szCs w:val="28"/>
              </w:rPr>
              <w:t>可选择的授课时间</w:t>
            </w:r>
          </w:p>
        </w:tc>
        <w:tc>
          <w:tcPr>
            <w:tcW w:w="6656" w:type="dxa"/>
            <w:gridSpan w:val="6"/>
            <w:vAlign w:val="center"/>
          </w:tcPr>
          <w:p>
            <w:pPr>
              <w:spacing w:line="580" w:lineRule="exact"/>
              <w:jc w:val="center"/>
              <w:rPr>
                <w:rFonts w:ascii="楷体" w:hAnsi="楷体" w:eastAsia="楷体"/>
                <w:sz w:val="28"/>
                <w:szCs w:val="28"/>
              </w:rPr>
            </w:pPr>
            <w:r>
              <w:rPr>
                <w:rFonts w:hint="eastAsia" w:ascii="楷体" w:hAnsi="楷体" w:eastAsia="楷体"/>
                <w:sz w:val="24"/>
                <w:szCs w:val="28"/>
              </w:rPr>
              <w:t xml:space="preserve">每周星期 </w:t>
            </w:r>
            <w:r>
              <w:rPr>
                <w:rFonts w:ascii="楷体" w:hAnsi="楷体" w:eastAsia="楷体"/>
                <w:sz w:val="24"/>
                <w:szCs w:val="28"/>
              </w:rPr>
              <w:t xml:space="preserve"> </w:t>
            </w:r>
            <w:r>
              <w:rPr>
                <w:rFonts w:hint="eastAsia" w:ascii="楷体" w:hAnsi="楷体" w:eastAsia="楷体"/>
                <w:sz w:val="24"/>
                <w:szCs w:val="28"/>
              </w:rPr>
              <w:t xml:space="preserve">第 </w:t>
            </w:r>
            <w:r>
              <w:rPr>
                <w:rFonts w:ascii="楷体" w:hAnsi="楷体" w:eastAsia="楷体"/>
                <w:sz w:val="24"/>
                <w:szCs w:val="28"/>
              </w:rPr>
              <w:t xml:space="preserve"> </w:t>
            </w:r>
            <w:r>
              <w:rPr>
                <w:rFonts w:hint="eastAsia" w:ascii="楷体" w:hAnsi="楷体" w:eastAsia="楷体"/>
                <w:sz w:val="24"/>
                <w:szCs w:val="28"/>
              </w:rPr>
              <w:t xml:space="preserve">节、星期 </w:t>
            </w:r>
            <w:r>
              <w:rPr>
                <w:rFonts w:ascii="楷体" w:hAnsi="楷体" w:eastAsia="楷体"/>
                <w:sz w:val="24"/>
                <w:szCs w:val="28"/>
              </w:rPr>
              <w:t xml:space="preserve"> </w:t>
            </w:r>
            <w:r>
              <w:rPr>
                <w:rFonts w:hint="eastAsia" w:ascii="楷体" w:hAnsi="楷体" w:eastAsia="楷体"/>
                <w:sz w:val="24"/>
                <w:szCs w:val="28"/>
              </w:rPr>
              <w:t xml:space="preserve">第 </w:t>
            </w:r>
            <w:r>
              <w:rPr>
                <w:rFonts w:ascii="楷体" w:hAnsi="楷体" w:eastAsia="楷体"/>
                <w:sz w:val="24"/>
                <w:szCs w:val="28"/>
              </w:rPr>
              <w:t xml:space="preserve"> </w:t>
            </w:r>
            <w:r>
              <w:rPr>
                <w:rFonts w:hint="eastAsia" w:ascii="楷体" w:hAnsi="楷体" w:eastAsia="楷体"/>
                <w:sz w:val="24"/>
                <w:szCs w:val="28"/>
              </w:rPr>
              <w:t xml:space="preserve">节、星期 </w:t>
            </w:r>
            <w:r>
              <w:rPr>
                <w:rFonts w:ascii="楷体" w:hAnsi="楷体" w:eastAsia="楷体"/>
                <w:sz w:val="24"/>
                <w:szCs w:val="28"/>
              </w:rPr>
              <w:t xml:space="preserve"> </w:t>
            </w:r>
            <w:r>
              <w:rPr>
                <w:rFonts w:hint="eastAsia" w:ascii="楷体" w:hAnsi="楷体" w:eastAsia="楷体"/>
                <w:sz w:val="24"/>
                <w:szCs w:val="28"/>
              </w:rPr>
              <w:t xml:space="preserve">第 </w:t>
            </w:r>
            <w:r>
              <w:rPr>
                <w:rFonts w:ascii="楷体" w:hAnsi="楷体" w:eastAsia="楷体"/>
                <w:sz w:val="24"/>
                <w:szCs w:val="28"/>
              </w:rPr>
              <w:t xml:space="preserve"> </w:t>
            </w:r>
            <w:r>
              <w:rPr>
                <w:rFonts w:hint="eastAsia" w:ascii="楷体" w:hAnsi="楷体" w:eastAsia="楷体"/>
                <w:sz w:val="24"/>
                <w:szCs w:val="28"/>
              </w:rPr>
              <w:t>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8" w:type="dxa"/>
            <w:gridSpan w:val="8"/>
            <w:vAlign w:val="center"/>
          </w:tcPr>
          <w:p>
            <w:pPr>
              <w:tabs>
                <w:tab w:val="center" w:pos="4536"/>
              </w:tabs>
              <w:spacing w:line="580" w:lineRule="exact"/>
              <w:rPr>
                <w:rFonts w:eastAsia="楷体"/>
                <w:szCs w:val="30"/>
              </w:rPr>
            </w:pPr>
            <w:r>
              <w:rPr>
                <w:rFonts w:hint="eastAsia" w:eastAsia="黑体"/>
                <w:sz w:val="30"/>
                <w:szCs w:val="30"/>
              </w:rPr>
              <w:t>二</w:t>
            </w:r>
            <w:r>
              <w:rPr>
                <w:rFonts w:eastAsia="黑体"/>
                <w:sz w:val="30"/>
                <w:szCs w:val="30"/>
              </w:rPr>
              <w:t>、</w:t>
            </w:r>
            <w:r>
              <w:rPr>
                <w:rFonts w:hint="eastAsia" w:eastAsia="黑体"/>
                <w:sz w:val="30"/>
                <w:szCs w:val="30"/>
              </w:rPr>
              <w:t>课程负责人</w:t>
            </w:r>
            <w:r>
              <w:rPr>
                <w:rFonts w:eastAsia="黑体"/>
                <w:sz w:val="30"/>
                <w:szCs w:val="30"/>
              </w:rPr>
              <w:t>情况</w:t>
            </w:r>
            <w:r>
              <w:rPr>
                <w:rFonts w:hint="eastAsia" w:eastAsia="黑体"/>
                <w:sz w:val="30"/>
                <w:szCs w:val="30"/>
              </w:rPr>
              <w:t xml:space="preserve"> </w:t>
            </w:r>
            <w:r>
              <w:rPr>
                <w:rFonts w:hint="eastAsia" w:ascii="楷体" w:hAnsi="楷体" w:eastAsia="楷体"/>
                <w:sz w:val="23"/>
                <w:szCs w:val="23"/>
              </w:rPr>
              <w:t>□老师□学生□校友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857" w:type="dxa"/>
            <w:vAlign w:val="center"/>
          </w:tcPr>
          <w:p>
            <w:pPr>
              <w:spacing w:line="580" w:lineRule="exact"/>
              <w:jc w:val="center"/>
              <w:rPr>
                <w:rFonts w:ascii="楷体_GB2312" w:eastAsia="楷体_GB2312"/>
                <w:sz w:val="28"/>
                <w:szCs w:val="28"/>
              </w:rPr>
            </w:pPr>
            <w:r>
              <w:rPr>
                <w:rFonts w:hint="eastAsia" w:ascii="楷体_GB2312" w:eastAsia="楷体_GB2312"/>
                <w:sz w:val="28"/>
                <w:szCs w:val="28"/>
              </w:rPr>
              <w:t>姓名</w:t>
            </w:r>
          </w:p>
        </w:tc>
        <w:tc>
          <w:tcPr>
            <w:tcW w:w="2536" w:type="dxa"/>
            <w:gridSpan w:val="3"/>
            <w:vAlign w:val="center"/>
          </w:tcPr>
          <w:p>
            <w:pPr>
              <w:spacing w:line="580" w:lineRule="exact"/>
              <w:jc w:val="center"/>
              <w:rPr>
                <w:rFonts w:hint="eastAsia" w:ascii="楷体_GB2312" w:hAnsi="仿宋_GB2312" w:eastAsia="楷体_GB2312"/>
                <w:sz w:val="28"/>
                <w:szCs w:val="28"/>
              </w:rPr>
            </w:pPr>
            <w:r>
              <w:rPr>
                <w:rFonts w:hint="eastAsia" w:ascii="楷体_GB2312" w:hAnsi="仿宋_GB2312" w:eastAsia="楷体_GB2312"/>
                <w:sz w:val="28"/>
                <w:szCs w:val="28"/>
              </w:rPr>
              <w:t xml:space="preserve"> </w:t>
            </w:r>
          </w:p>
        </w:tc>
        <w:tc>
          <w:tcPr>
            <w:tcW w:w="2295" w:type="dxa"/>
            <w:gridSpan w:val="2"/>
            <w:vAlign w:val="center"/>
          </w:tcPr>
          <w:p>
            <w:pPr>
              <w:spacing w:line="580" w:lineRule="exact"/>
              <w:jc w:val="center"/>
              <w:rPr>
                <w:rFonts w:ascii="楷体_GB2312" w:eastAsia="楷体_GB2312"/>
                <w:sz w:val="28"/>
                <w:szCs w:val="28"/>
              </w:rPr>
            </w:pPr>
            <w:r>
              <w:rPr>
                <w:rFonts w:hint="eastAsia" w:ascii="楷体_GB2312" w:eastAsia="楷体_GB2312"/>
                <w:sz w:val="28"/>
                <w:szCs w:val="28"/>
              </w:rPr>
              <w:t>性别</w:t>
            </w:r>
          </w:p>
        </w:tc>
        <w:tc>
          <w:tcPr>
            <w:tcW w:w="2600" w:type="dxa"/>
            <w:gridSpan w:val="2"/>
            <w:vAlign w:val="center"/>
          </w:tcPr>
          <w:p>
            <w:pPr>
              <w:spacing w:line="580" w:lineRule="exact"/>
              <w:jc w:val="center"/>
              <w:rPr>
                <w:rFonts w:ascii="楷体_GB2312" w:eastAsia="楷体_GB2312"/>
                <w:sz w:val="28"/>
                <w:szCs w:val="28"/>
              </w:rPr>
            </w:pPr>
            <w:r>
              <w:rPr>
                <w:rFonts w:hint="eastAsia" w:ascii="楷体_GB2312" w:hAnsi="仿宋_GB2312" w:eastAsia="楷体_GB2312"/>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7" w:type="dxa"/>
            <w:vAlign w:val="center"/>
          </w:tcPr>
          <w:p>
            <w:pPr>
              <w:spacing w:line="580" w:lineRule="exact"/>
              <w:jc w:val="left"/>
              <w:rPr>
                <w:rFonts w:ascii="楷体_GB2312" w:eastAsia="楷体_GB2312"/>
                <w:w w:val="80"/>
                <w:kern w:val="0"/>
                <w:sz w:val="28"/>
                <w:szCs w:val="28"/>
              </w:rPr>
            </w:pPr>
            <w:r>
              <w:rPr>
                <w:rFonts w:hint="eastAsia" w:ascii="楷体_GB2312" w:eastAsia="楷体_GB2312"/>
                <w:w w:val="80"/>
                <w:kern w:val="0"/>
                <w:sz w:val="28"/>
                <w:szCs w:val="28"/>
              </w:rPr>
              <w:t>所在单位（班级）</w:t>
            </w:r>
          </w:p>
        </w:tc>
        <w:tc>
          <w:tcPr>
            <w:tcW w:w="2536" w:type="dxa"/>
            <w:gridSpan w:val="3"/>
            <w:vAlign w:val="center"/>
          </w:tcPr>
          <w:p>
            <w:pPr>
              <w:spacing w:line="580" w:lineRule="exact"/>
              <w:jc w:val="left"/>
              <w:rPr>
                <w:rFonts w:ascii="楷体_GB2312" w:eastAsia="楷体_GB2312"/>
                <w:w w:val="80"/>
                <w:kern w:val="0"/>
                <w:sz w:val="28"/>
                <w:szCs w:val="28"/>
              </w:rPr>
            </w:pPr>
          </w:p>
        </w:tc>
        <w:tc>
          <w:tcPr>
            <w:tcW w:w="2295" w:type="dxa"/>
            <w:gridSpan w:val="2"/>
            <w:vAlign w:val="center"/>
          </w:tcPr>
          <w:p>
            <w:pPr>
              <w:wordWrap w:val="0"/>
              <w:spacing w:line="580" w:lineRule="exact"/>
              <w:jc w:val="center"/>
              <w:rPr>
                <w:rFonts w:ascii="楷体_GB2312" w:eastAsia="楷体_GB2312"/>
                <w:sz w:val="28"/>
                <w:szCs w:val="28"/>
              </w:rPr>
            </w:pPr>
            <w:r>
              <w:rPr>
                <w:rFonts w:hint="eastAsia" w:ascii="楷体_GB2312" w:eastAsia="楷体_GB2312"/>
                <w:sz w:val="28"/>
                <w:szCs w:val="28"/>
              </w:rPr>
              <w:t>职务（职称）</w:t>
            </w:r>
          </w:p>
        </w:tc>
        <w:tc>
          <w:tcPr>
            <w:tcW w:w="2600" w:type="dxa"/>
            <w:gridSpan w:val="2"/>
            <w:vAlign w:val="center"/>
          </w:tcPr>
          <w:p>
            <w:pPr>
              <w:spacing w:line="580" w:lineRule="exact"/>
              <w:jc w:val="right"/>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7" w:type="dxa"/>
            <w:vAlign w:val="center"/>
          </w:tcPr>
          <w:p>
            <w:pPr>
              <w:spacing w:line="580" w:lineRule="exact"/>
              <w:jc w:val="center"/>
              <w:rPr>
                <w:rFonts w:ascii="楷体_GB2312" w:eastAsia="楷体_GB2312"/>
                <w:sz w:val="28"/>
                <w:szCs w:val="28"/>
              </w:rPr>
            </w:pPr>
            <w:r>
              <w:rPr>
                <w:rFonts w:hint="eastAsia" w:ascii="楷体_GB2312" w:eastAsia="楷体_GB2312"/>
                <w:sz w:val="28"/>
                <w:szCs w:val="28"/>
              </w:rPr>
              <w:t>联系方式</w:t>
            </w:r>
          </w:p>
        </w:tc>
        <w:tc>
          <w:tcPr>
            <w:tcW w:w="2536" w:type="dxa"/>
            <w:gridSpan w:val="3"/>
            <w:vAlign w:val="center"/>
          </w:tcPr>
          <w:p>
            <w:pPr>
              <w:spacing w:line="580" w:lineRule="exact"/>
              <w:jc w:val="center"/>
              <w:rPr>
                <w:rFonts w:ascii="楷体_GB2312" w:eastAsia="楷体_GB2312"/>
                <w:sz w:val="28"/>
                <w:szCs w:val="28"/>
              </w:rPr>
            </w:pPr>
            <w:r>
              <w:rPr>
                <w:rFonts w:hint="eastAsia" w:ascii="楷体_GB2312" w:hAnsi="仿宋_GB2312" w:eastAsia="楷体_GB2312"/>
                <w:sz w:val="28"/>
                <w:szCs w:val="28"/>
              </w:rPr>
              <w:t xml:space="preserve"> </w:t>
            </w:r>
          </w:p>
        </w:tc>
        <w:tc>
          <w:tcPr>
            <w:tcW w:w="2295" w:type="dxa"/>
            <w:gridSpan w:val="2"/>
            <w:vAlign w:val="center"/>
          </w:tcPr>
          <w:p>
            <w:pPr>
              <w:spacing w:line="580" w:lineRule="exact"/>
              <w:jc w:val="center"/>
              <w:rPr>
                <w:rFonts w:hint="eastAsia" w:ascii="楷体_GB2312" w:hAnsi="仿宋_GB2312" w:eastAsia="楷体_GB2312"/>
                <w:sz w:val="28"/>
                <w:szCs w:val="28"/>
              </w:rPr>
            </w:pPr>
            <w:r>
              <w:rPr>
                <w:rFonts w:hint="eastAsia" w:ascii="楷体_GB2312" w:eastAsia="楷体_GB2312"/>
                <w:sz w:val="28"/>
                <w:szCs w:val="28"/>
              </w:rPr>
              <w:t>电子邮箱</w:t>
            </w:r>
          </w:p>
        </w:tc>
        <w:tc>
          <w:tcPr>
            <w:tcW w:w="2600" w:type="dxa"/>
            <w:gridSpan w:val="2"/>
            <w:vAlign w:val="center"/>
          </w:tcPr>
          <w:p>
            <w:pPr>
              <w:spacing w:line="580" w:lineRule="exact"/>
              <w:jc w:val="center"/>
              <w:rPr>
                <w:rFonts w:hint="eastAsia" w:ascii="楷体_GB2312" w:hAnsi="仿宋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8" w:type="dxa"/>
            <w:gridSpan w:val="8"/>
            <w:vAlign w:val="center"/>
          </w:tcPr>
          <w:p>
            <w:pPr>
              <w:spacing w:line="580" w:lineRule="exact"/>
              <w:rPr>
                <w:rFonts w:hint="eastAsia" w:ascii="楷体_GB2312" w:hAnsi="仿宋_GB2312" w:eastAsia="楷体_GB2312"/>
                <w:sz w:val="28"/>
                <w:szCs w:val="28"/>
              </w:rPr>
            </w:pPr>
            <w:r>
              <w:rPr>
                <w:rFonts w:hint="eastAsia" w:eastAsia="黑体"/>
                <w:sz w:val="30"/>
                <w:szCs w:val="30"/>
              </w:rPr>
              <w:t>三</w:t>
            </w:r>
            <w:r>
              <w:rPr>
                <w:rFonts w:eastAsia="黑体"/>
                <w:sz w:val="30"/>
                <w:szCs w:val="30"/>
              </w:rPr>
              <w:t>、</w:t>
            </w:r>
            <w:r>
              <w:rPr>
                <w:rFonts w:hint="eastAsia" w:eastAsia="黑体"/>
                <w:sz w:val="30"/>
                <w:szCs w:val="30"/>
              </w:rPr>
              <w:t>合作者</w:t>
            </w:r>
            <w:r>
              <w:rPr>
                <w:rFonts w:eastAsia="黑体"/>
                <w:sz w:val="30"/>
                <w:szCs w:val="30"/>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7" w:type="dxa"/>
            <w:vAlign w:val="center"/>
          </w:tcPr>
          <w:p>
            <w:pPr>
              <w:spacing w:line="580" w:lineRule="exact"/>
              <w:jc w:val="center"/>
              <w:rPr>
                <w:rFonts w:ascii="楷体_GB2312" w:eastAsia="楷体_GB2312"/>
                <w:sz w:val="28"/>
                <w:szCs w:val="28"/>
              </w:rPr>
            </w:pPr>
            <w:r>
              <w:rPr>
                <w:rFonts w:hint="eastAsia" w:ascii="楷体_GB2312" w:eastAsia="楷体_GB2312"/>
                <w:sz w:val="28"/>
                <w:szCs w:val="28"/>
              </w:rPr>
              <w:t>姓名</w:t>
            </w:r>
          </w:p>
        </w:tc>
        <w:tc>
          <w:tcPr>
            <w:tcW w:w="1201" w:type="dxa"/>
            <w:gridSpan w:val="2"/>
            <w:vAlign w:val="center"/>
          </w:tcPr>
          <w:p>
            <w:pPr>
              <w:spacing w:line="580" w:lineRule="exact"/>
              <w:jc w:val="center"/>
              <w:rPr>
                <w:rFonts w:ascii="楷体_GB2312" w:eastAsia="楷体_GB2312"/>
                <w:sz w:val="28"/>
                <w:szCs w:val="28"/>
              </w:rPr>
            </w:pPr>
            <w:r>
              <w:rPr>
                <w:rFonts w:hint="eastAsia" w:ascii="楷体_GB2312" w:eastAsia="楷体_GB2312"/>
                <w:sz w:val="28"/>
                <w:szCs w:val="28"/>
              </w:rPr>
              <w:t>性别</w:t>
            </w:r>
          </w:p>
        </w:tc>
        <w:tc>
          <w:tcPr>
            <w:tcW w:w="2513" w:type="dxa"/>
            <w:gridSpan w:val="2"/>
            <w:vAlign w:val="center"/>
          </w:tcPr>
          <w:p>
            <w:pPr>
              <w:spacing w:line="580" w:lineRule="exact"/>
              <w:jc w:val="center"/>
              <w:rPr>
                <w:rFonts w:ascii="楷体_GB2312" w:eastAsia="楷体_GB2312"/>
                <w:sz w:val="28"/>
                <w:szCs w:val="28"/>
              </w:rPr>
            </w:pPr>
            <w:r>
              <w:rPr>
                <w:rFonts w:hint="eastAsia" w:ascii="楷体_GB2312" w:eastAsia="楷体_GB2312"/>
                <w:sz w:val="28"/>
                <w:szCs w:val="28"/>
              </w:rPr>
              <w:t>所在单位（班级）</w:t>
            </w:r>
          </w:p>
        </w:tc>
        <w:tc>
          <w:tcPr>
            <w:tcW w:w="1857" w:type="dxa"/>
            <w:gridSpan w:val="2"/>
            <w:vAlign w:val="center"/>
          </w:tcPr>
          <w:p>
            <w:pPr>
              <w:spacing w:line="580" w:lineRule="exact"/>
              <w:jc w:val="center"/>
              <w:rPr>
                <w:rFonts w:ascii="楷体_GB2312" w:eastAsia="楷体_GB2312"/>
                <w:sz w:val="28"/>
                <w:szCs w:val="28"/>
              </w:rPr>
            </w:pPr>
            <w:r>
              <w:rPr>
                <w:rFonts w:hint="eastAsia" w:ascii="楷体_GB2312" w:eastAsia="楷体_GB2312"/>
                <w:sz w:val="28"/>
                <w:szCs w:val="28"/>
              </w:rPr>
              <w:t>职务（职称）</w:t>
            </w:r>
          </w:p>
        </w:tc>
        <w:tc>
          <w:tcPr>
            <w:tcW w:w="1860" w:type="dxa"/>
            <w:vAlign w:val="center"/>
          </w:tcPr>
          <w:p>
            <w:pPr>
              <w:spacing w:line="580" w:lineRule="exact"/>
              <w:jc w:val="center"/>
              <w:rPr>
                <w:rFonts w:ascii="楷体_GB2312" w:eastAsia="楷体_GB2312"/>
                <w:sz w:val="28"/>
                <w:szCs w:val="28"/>
              </w:rPr>
            </w:pPr>
            <w:r>
              <w:rPr>
                <w:rFonts w:hint="eastAsia" w:ascii="楷体_GB2312" w:eastAsia="楷体_GB2312"/>
                <w:sz w:val="28"/>
                <w:szCs w:val="28"/>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7" w:type="dxa"/>
            <w:vAlign w:val="center"/>
          </w:tcPr>
          <w:p>
            <w:pPr>
              <w:spacing w:line="580" w:lineRule="exact"/>
              <w:rPr>
                <w:rFonts w:eastAsia="黑体"/>
                <w:sz w:val="30"/>
                <w:szCs w:val="30"/>
              </w:rPr>
            </w:pPr>
          </w:p>
        </w:tc>
        <w:tc>
          <w:tcPr>
            <w:tcW w:w="1201" w:type="dxa"/>
            <w:gridSpan w:val="2"/>
            <w:vAlign w:val="center"/>
          </w:tcPr>
          <w:p>
            <w:pPr>
              <w:spacing w:line="580" w:lineRule="exact"/>
              <w:rPr>
                <w:rFonts w:eastAsia="黑体"/>
                <w:sz w:val="30"/>
                <w:szCs w:val="30"/>
              </w:rPr>
            </w:pPr>
          </w:p>
        </w:tc>
        <w:tc>
          <w:tcPr>
            <w:tcW w:w="2513" w:type="dxa"/>
            <w:gridSpan w:val="2"/>
            <w:vAlign w:val="center"/>
          </w:tcPr>
          <w:p>
            <w:pPr>
              <w:spacing w:line="580" w:lineRule="exact"/>
              <w:rPr>
                <w:rFonts w:eastAsia="黑体"/>
                <w:sz w:val="30"/>
                <w:szCs w:val="30"/>
              </w:rPr>
            </w:pPr>
          </w:p>
        </w:tc>
        <w:tc>
          <w:tcPr>
            <w:tcW w:w="1857" w:type="dxa"/>
            <w:gridSpan w:val="2"/>
            <w:vAlign w:val="center"/>
          </w:tcPr>
          <w:p>
            <w:pPr>
              <w:spacing w:line="580" w:lineRule="exact"/>
              <w:rPr>
                <w:rFonts w:eastAsia="黑体"/>
                <w:sz w:val="30"/>
                <w:szCs w:val="30"/>
              </w:rPr>
            </w:pPr>
          </w:p>
        </w:tc>
        <w:tc>
          <w:tcPr>
            <w:tcW w:w="1860" w:type="dxa"/>
            <w:vAlign w:val="center"/>
          </w:tcPr>
          <w:p>
            <w:pPr>
              <w:spacing w:line="580" w:lineRule="exact"/>
              <w:rPr>
                <w:rFonts w:eastAsia="黑体"/>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7" w:type="dxa"/>
            <w:vAlign w:val="center"/>
          </w:tcPr>
          <w:p>
            <w:pPr>
              <w:spacing w:line="580" w:lineRule="exact"/>
              <w:rPr>
                <w:rFonts w:eastAsia="黑体"/>
                <w:sz w:val="30"/>
                <w:szCs w:val="30"/>
              </w:rPr>
            </w:pPr>
          </w:p>
        </w:tc>
        <w:tc>
          <w:tcPr>
            <w:tcW w:w="1201" w:type="dxa"/>
            <w:gridSpan w:val="2"/>
            <w:vAlign w:val="center"/>
          </w:tcPr>
          <w:p>
            <w:pPr>
              <w:spacing w:line="580" w:lineRule="exact"/>
              <w:rPr>
                <w:rFonts w:eastAsia="黑体"/>
                <w:sz w:val="30"/>
                <w:szCs w:val="30"/>
              </w:rPr>
            </w:pPr>
          </w:p>
        </w:tc>
        <w:tc>
          <w:tcPr>
            <w:tcW w:w="2513" w:type="dxa"/>
            <w:gridSpan w:val="2"/>
            <w:vAlign w:val="center"/>
          </w:tcPr>
          <w:p>
            <w:pPr>
              <w:spacing w:line="580" w:lineRule="exact"/>
              <w:rPr>
                <w:rFonts w:eastAsia="黑体"/>
                <w:sz w:val="30"/>
                <w:szCs w:val="30"/>
              </w:rPr>
            </w:pPr>
          </w:p>
        </w:tc>
        <w:tc>
          <w:tcPr>
            <w:tcW w:w="1857" w:type="dxa"/>
            <w:gridSpan w:val="2"/>
            <w:vAlign w:val="center"/>
          </w:tcPr>
          <w:p>
            <w:pPr>
              <w:spacing w:line="580" w:lineRule="exact"/>
              <w:rPr>
                <w:rFonts w:eastAsia="黑体"/>
                <w:sz w:val="30"/>
                <w:szCs w:val="30"/>
              </w:rPr>
            </w:pPr>
          </w:p>
        </w:tc>
        <w:tc>
          <w:tcPr>
            <w:tcW w:w="1860" w:type="dxa"/>
            <w:vAlign w:val="center"/>
          </w:tcPr>
          <w:p>
            <w:pPr>
              <w:spacing w:line="580" w:lineRule="exact"/>
              <w:rPr>
                <w:rFonts w:eastAsia="黑体"/>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7" w:type="dxa"/>
            <w:vAlign w:val="center"/>
          </w:tcPr>
          <w:p>
            <w:pPr>
              <w:spacing w:line="580" w:lineRule="exact"/>
              <w:rPr>
                <w:rFonts w:eastAsia="黑体"/>
                <w:sz w:val="30"/>
                <w:szCs w:val="30"/>
              </w:rPr>
            </w:pPr>
          </w:p>
        </w:tc>
        <w:tc>
          <w:tcPr>
            <w:tcW w:w="1201" w:type="dxa"/>
            <w:gridSpan w:val="2"/>
            <w:vAlign w:val="center"/>
          </w:tcPr>
          <w:p>
            <w:pPr>
              <w:spacing w:line="580" w:lineRule="exact"/>
              <w:rPr>
                <w:rFonts w:eastAsia="黑体"/>
                <w:sz w:val="30"/>
                <w:szCs w:val="30"/>
              </w:rPr>
            </w:pPr>
          </w:p>
        </w:tc>
        <w:tc>
          <w:tcPr>
            <w:tcW w:w="2513" w:type="dxa"/>
            <w:gridSpan w:val="2"/>
            <w:vAlign w:val="center"/>
          </w:tcPr>
          <w:p>
            <w:pPr>
              <w:spacing w:line="580" w:lineRule="exact"/>
              <w:rPr>
                <w:rFonts w:eastAsia="黑体"/>
                <w:sz w:val="30"/>
                <w:szCs w:val="30"/>
              </w:rPr>
            </w:pPr>
          </w:p>
        </w:tc>
        <w:tc>
          <w:tcPr>
            <w:tcW w:w="1857" w:type="dxa"/>
            <w:gridSpan w:val="2"/>
            <w:vAlign w:val="center"/>
          </w:tcPr>
          <w:p>
            <w:pPr>
              <w:spacing w:line="580" w:lineRule="exact"/>
              <w:rPr>
                <w:rFonts w:eastAsia="黑体"/>
                <w:sz w:val="30"/>
                <w:szCs w:val="30"/>
              </w:rPr>
            </w:pPr>
          </w:p>
        </w:tc>
        <w:tc>
          <w:tcPr>
            <w:tcW w:w="1860" w:type="dxa"/>
            <w:vAlign w:val="center"/>
          </w:tcPr>
          <w:p>
            <w:pPr>
              <w:spacing w:line="580" w:lineRule="exact"/>
              <w:rPr>
                <w:rFonts w:eastAsia="黑体"/>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7" w:type="dxa"/>
            <w:vAlign w:val="center"/>
          </w:tcPr>
          <w:p>
            <w:pPr>
              <w:spacing w:line="580" w:lineRule="exact"/>
              <w:rPr>
                <w:rFonts w:eastAsia="黑体"/>
                <w:sz w:val="30"/>
                <w:szCs w:val="30"/>
              </w:rPr>
            </w:pPr>
          </w:p>
        </w:tc>
        <w:tc>
          <w:tcPr>
            <w:tcW w:w="1201" w:type="dxa"/>
            <w:gridSpan w:val="2"/>
            <w:vAlign w:val="center"/>
          </w:tcPr>
          <w:p>
            <w:pPr>
              <w:spacing w:line="580" w:lineRule="exact"/>
              <w:rPr>
                <w:rFonts w:eastAsia="黑体"/>
                <w:sz w:val="30"/>
                <w:szCs w:val="30"/>
              </w:rPr>
            </w:pPr>
          </w:p>
        </w:tc>
        <w:tc>
          <w:tcPr>
            <w:tcW w:w="2513" w:type="dxa"/>
            <w:gridSpan w:val="2"/>
            <w:vAlign w:val="center"/>
          </w:tcPr>
          <w:p>
            <w:pPr>
              <w:spacing w:line="580" w:lineRule="exact"/>
              <w:rPr>
                <w:rFonts w:eastAsia="黑体"/>
                <w:sz w:val="30"/>
                <w:szCs w:val="30"/>
              </w:rPr>
            </w:pPr>
          </w:p>
        </w:tc>
        <w:tc>
          <w:tcPr>
            <w:tcW w:w="1857" w:type="dxa"/>
            <w:gridSpan w:val="2"/>
            <w:vAlign w:val="center"/>
          </w:tcPr>
          <w:p>
            <w:pPr>
              <w:spacing w:line="580" w:lineRule="exact"/>
              <w:rPr>
                <w:rFonts w:eastAsia="黑体"/>
                <w:sz w:val="30"/>
                <w:szCs w:val="30"/>
              </w:rPr>
            </w:pPr>
          </w:p>
        </w:tc>
        <w:tc>
          <w:tcPr>
            <w:tcW w:w="1860" w:type="dxa"/>
            <w:vAlign w:val="center"/>
          </w:tcPr>
          <w:p>
            <w:pPr>
              <w:spacing w:line="580" w:lineRule="exact"/>
              <w:rPr>
                <w:rFonts w:eastAsia="黑体"/>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7" w:type="dxa"/>
            <w:vAlign w:val="center"/>
          </w:tcPr>
          <w:p>
            <w:pPr>
              <w:spacing w:line="580" w:lineRule="exact"/>
              <w:rPr>
                <w:rFonts w:eastAsia="黑体"/>
                <w:sz w:val="30"/>
                <w:szCs w:val="30"/>
              </w:rPr>
            </w:pPr>
          </w:p>
        </w:tc>
        <w:tc>
          <w:tcPr>
            <w:tcW w:w="1201" w:type="dxa"/>
            <w:gridSpan w:val="2"/>
            <w:vAlign w:val="center"/>
          </w:tcPr>
          <w:p>
            <w:pPr>
              <w:spacing w:line="580" w:lineRule="exact"/>
              <w:rPr>
                <w:rFonts w:eastAsia="黑体"/>
                <w:sz w:val="30"/>
                <w:szCs w:val="30"/>
              </w:rPr>
            </w:pPr>
          </w:p>
        </w:tc>
        <w:tc>
          <w:tcPr>
            <w:tcW w:w="2513" w:type="dxa"/>
            <w:gridSpan w:val="2"/>
            <w:vAlign w:val="center"/>
          </w:tcPr>
          <w:p>
            <w:pPr>
              <w:spacing w:line="580" w:lineRule="exact"/>
              <w:rPr>
                <w:rFonts w:eastAsia="黑体"/>
                <w:sz w:val="30"/>
                <w:szCs w:val="30"/>
              </w:rPr>
            </w:pPr>
          </w:p>
        </w:tc>
        <w:tc>
          <w:tcPr>
            <w:tcW w:w="1857" w:type="dxa"/>
            <w:gridSpan w:val="2"/>
            <w:vAlign w:val="center"/>
          </w:tcPr>
          <w:p>
            <w:pPr>
              <w:spacing w:line="580" w:lineRule="exact"/>
              <w:rPr>
                <w:rFonts w:eastAsia="黑体"/>
                <w:sz w:val="30"/>
                <w:szCs w:val="30"/>
              </w:rPr>
            </w:pPr>
          </w:p>
        </w:tc>
        <w:tc>
          <w:tcPr>
            <w:tcW w:w="1860" w:type="dxa"/>
            <w:vAlign w:val="center"/>
          </w:tcPr>
          <w:p>
            <w:pPr>
              <w:spacing w:line="580" w:lineRule="exact"/>
              <w:rPr>
                <w:rFonts w:eastAsia="黑体"/>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7" w:type="dxa"/>
            <w:vAlign w:val="center"/>
          </w:tcPr>
          <w:p>
            <w:pPr>
              <w:spacing w:line="580" w:lineRule="exact"/>
              <w:rPr>
                <w:rFonts w:eastAsia="黑体"/>
                <w:sz w:val="30"/>
                <w:szCs w:val="30"/>
              </w:rPr>
            </w:pPr>
          </w:p>
        </w:tc>
        <w:tc>
          <w:tcPr>
            <w:tcW w:w="1201" w:type="dxa"/>
            <w:gridSpan w:val="2"/>
            <w:vAlign w:val="center"/>
          </w:tcPr>
          <w:p>
            <w:pPr>
              <w:spacing w:line="580" w:lineRule="exact"/>
              <w:rPr>
                <w:rFonts w:eastAsia="黑体"/>
                <w:sz w:val="30"/>
                <w:szCs w:val="30"/>
              </w:rPr>
            </w:pPr>
          </w:p>
        </w:tc>
        <w:tc>
          <w:tcPr>
            <w:tcW w:w="2513" w:type="dxa"/>
            <w:gridSpan w:val="2"/>
            <w:vAlign w:val="center"/>
          </w:tcPr>
          <w:p>
            <w:pPr>
              <w:spacing w:line="580" w:lineRule="exact"/>
              <w:rPr>
                <w:rFonts w:eastAsia="黑体"/>
                <w:sz w:val="30"/>
                <w:szCs w:val="30"/>
              </w:rPr>
            </w:pPr>
          </w:p>
        </w:tc>
        <w:tc>
          <w:tcPr>
            <w:tcW w:w="1857" w:type="dxa"/>
            <w:gridSpan w:val="2"/>
            <w:vAlign w:val="center"/>
          </w:tcPr>
          <w:p>
            <w:pPr>
              <w:spacing w:line="580" w:lineRule="exact"/>
              <w:rPr>
                <w:rFonts w:eastAsia="黑体"/>
                <w:sz w:val="30"/>
                <w:szCs w:val="30"/>
              </w:rPr>
            </w:pPr>
          </w:p>
        </w:tc>
        <w:tc>
          <w:tcPr>
            <w:tcW w:w="1860" w:type="dxa"/>
            <w:vAlign w:val="center"/>
          </w:tcPr>
          <w:p>
            <w:pPr>
              <w:spacing w:line="580" w:lineRule="exact"/>
              <w:rPr>
                <w:rFonts w:eastAsia="黑体"/>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288" w:type="dxa"/>
            <w:gridSpan w:val="8"/>
          </w:tcPr>
          <w:p>
            <w:pPr>
              <w:rPr>
                <w:rFonts w:eastAsia="黑体"/>
                <w:szCs w:val="30"/>
              </w:rPr>
            </w:pPr>
            <w:r>
              <w:rPr>
                <w:rFonts w:hint="eastAsia" w:eastAsia="黑体"/>
                <w:sz w:val="30"/>
                <w:szCs w:val="30"/>
              </w:rPr>
              <w:t>四</w:t>
            </w:r>
            <w:r>
              <w:rPr>
                <w:rFonts w:eastAsia="黑体"/>
                <w:sz w:val="30"/>
                <w:szCs w:val="30"/>
              </w:rPr>
              <w:t>、</w:t>
            </w:r>
            <w:r>
              <w:rPr>
                <w:rFonts w:hint="eastAsia" w:eastAsia="黑体"/>
                <w:sz w:val="30"/>
                <w:szCs w:val="30"/>
              </w:rPr>
              <w:t>课程大纲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7" w:hRule="atLeast"/>
          <w:jc w:val="center"/>
        </w:trPr>
        <w:tc>
          <w:tcPr>
            <w:tcW w:w="9288" w:type="dxa"/>
            <w:gridSpan w:val="8"/>
          </w:tcPr>
          <w:p>
            <w:pPr>
              <w:rPr>
                <w:rFonts w:ascii="楷体_GB2312" w:hAnsi="华文楷体" w:eastAsia="楷体_GB2312"/>
                <w:b/>
                <w:sz w:val="28"/>
                <w:szCs w:val="28"/>
              </w:rPr>
            </w:pPr>
            <w:r>
              <w:rPr>
                <w:rFonts w:hint="eastAsia" w:ascii="楷体_GB2312" w:hAnsi="华文楷体" w:eastAsia="楷体_GB2312"/>
                <w:b/>
                <w:sz w:val="28"/>
                <w:szCs w:val="28"/>
              </w:rPr>
              <w:t>1.教学内容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88" w:type="dxa"/>
            <w:gridSpan w:val="8"/>
          </w:tcPr>
          <w:p>
            <w:pPr>
              <w:rPr>
                <w:rFonts w:ascii="楷体_GB2312" w:hAnsi="华文楷体" w:eastAsia="楷体_GB2312"/>
                <w:b/>
                <w:sz w:val="28"/>
                <w:szCs w:val="28"/>
              </w:rPr>
            </w:pPr>
            <w:r>
              <w:rPr>
                <w:rFonts w:hint="eastAsia" w:ascii="楷体_GB2312" w:hAnsi="华文楷体" w:eastAsia="楷体_GB2312"/>
                <w:b/>
                <w:sz w:val="28"/>
                <w:szCs w:val="28"/>
              </w:rPr>
              <w:t>2.教学方法与手段</w:t>
            </w:r>
          </w:p>
          <w:p>
            <w:pPr>
              <w:rPr>
                <w:rFonts w:ascii="楷体_GB2312" w:hAnsi="华文楷体" w:eastAsia="楷体_GB2312"/>
                <w:b/>
                <w:sz w:val="28"/>
                <w:szCs w:val="28"/>
              </w:rPr>
            </w:pPr>
          </w:p>
          <w:p>
            <w:pPr>
              <w:rPr>
                <w:rFonts w:ascii="楷体_GB2312" w:hAnsi="华文楷体" w:eastAsia="楷体_GB2312"/>
                <w:b/>
                <w:sz w:val="28"/>
                <w:szCs w:val="28"/>
              </w:rPr>
            </w:pPr>
          </w:p>
          <w:p>
            <w:pPr>
              <w:rPr>
                <w:rFonts w:ascii="楷体_GB2312" w:hAnsi="华文楷体" w:eastAsia="楷体_GB2312"/>
                <w:b/>
                <w:sz w:val="28"/>
                <w:szCs w:val="28"/>
              </w:rPr>
            </w:pPr>
          </w:p>
          <w:p>
            <w:pPr>
              <w:rPr>
                <w:rFonts w:ascii="楷体_GB2312" w:hAnsi="华文楷体" w:eastAsia="楷体_GB2312"/>
                <w:b/>
                <w:sz w:val="28"/>
                <w:szCs w:val="28"/>
              </w:rPr>
            </w:pPr>
          </w:p>
          <w:p>
            <w:pPr>
              <w:rPr>
                <w:rFonts w:ascii="楷体_GB2312" w:hAnsi="华文楷体" w:eastAsia="楷体_GB2312"/>
                <w:b/>
                <w:sz w:val="28"/>
                <w:szCs w:val="28"/>
              </w:rPr>
            </w:pPr>
          </w:p>
          <w:p>
            <w:pPr>
              <w:rPr>
                <w:rFonts w:ascii="楷体_GB2312" w:hAnsi="华文楷体" w:eastAsia="楷体_GB2312"/>
                <w:b/>
                <w:sz w:val="28"/>
                <w:szCs w:val="28"/>
              </w:rPr>
            </w:pPr>
          </w:p>
          <w:p>
            <w:pPr>
              <w:rPr>
                <w:rFonts w:ascii="楷体_GB2312" w:hAnsi="华文楷体" w:eastAsia="楷体_GB2312"/>
                <w:b/>
                <w:sz w:val="28"/>
                <w:szCs w:val="28"/>
              </w:rPr>
            </w:pPr>
          </w:p>
          <w:p>
            <w:pPr>
              <w:rPr>
                <w:rFonts w:ascii="楷体_GB2312" w:hAnsi="华文楷体" w:eastAsia="楷体_GB2312"/>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4" w:hRule="atLeast"/>
          <w:jc w:val="center"/>
        </w:trPr>
        <w:tc>
          <w:tcPr>
            <w:tcW w:w="9288" w:type="dxa"/>
            <w:gridSpan w:val="8"/>
          </w:tcPr>
          <w:p>
            <w:pPr>
              <w:rPr>
                <w:rFonts w:ascii="楷体_GB2312" w:hAnsi="华文楷体" w:eastAsia="楷体_GB2312"/>
                <w:b/>
                <w:sz w:val="28"/>
                <w:szCs w:val="28"/>
              </w:rPr>
            </w:pPr>
            <w:r>
              <w:rPr>
                <w:rFonts w:hint="eastAsia" w:ascii="楷体_GB2312" w:hAnsi="华文楷体" w:eastAsia="楷体_GB2312"/>
                <w:b/>
                <w:sz w:val="28"/>
                <w:szCs w:val="28"/>
              </w:rPr>
              <w:t>3.教学资源保障（教学材料、教学场地）</w:t>
            </w:r>
          </w:p>
          <w:p>
            <w:pPr>
              <w:rPr>
                <w:rFonts w:ascii="楷体_GB2312" w:hAnsi="华文楷体" w:eastAsia="楷体_GB2312"/>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0" w:hRule="atLeast"/>
          <w:jc w:val="center"/>
        </w:trPr>
        <w:tc>
          <w:tcPr>
            <w:tcW w:w="9288" w:type="dxa"/>
            <w:gridSpan w:val="8"/>
          </w:tcPr>
          <w:p>
            <w:pPr>
              <w:rPr>
                <w:rFonts w:ascii="楷体_GB2312" w:hAnsi="华文楷体" w:eastAsia="楷体_GB2312"/>
                <w:b/>
                <w:sz w:val="28"/>
                <w:szCs w:val="28"/>
              </w:rPr>
            </w:pPr>
            <w:r>
              <w:rPr>
                <w:rFonts w:hint="eastAsia" w:ascii="楷体_GB2312" w:hAnsi="华文楷体" w:eastAsia="楷体_GB2312"/>
                <w:b/>
                <w:sz w:val="28"/>
                <w:szCs w:val="28"/>
              </w:rPr>
              <w:t>4.教学能力基础评估</w:t>
            </w:r>
          </w:p>
          <w:p>
            <w:pPr>
              <w:rPr>
                <w:rFonts w:ascii="楷体_GB2312" w:hAnsi="华文楷体" w:eastAsia="楷体_GB2312"/>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7" w:hRule="atLeast"/>
          <w:jc w:val="center"/>
        </w:trPr>
        <w:tc>
          <w:tcPr>
            <w:tcW w:w="9288" w:type="dxa"/>
            <w:gridSpan w:val="8"/>
          </w:tcPr>
          <w:p>
            <w:pPr>
              <w:rPr>
                <w:rFonts w:ascii="楷体_GB2312" w:hAnsi="华文楷体" w:eastAsia="楷体_GB2312"/>
                <w:b/>
                <w:sz w:val="28"/>
                <w:szCs w:val="28"/>
              </w:rPr>
            </w:pPr>
            <w:r>
              <w:rPr>
                <w:rFonts w:hint="eastAsia" w:ascii="楷体_GB2312" w:hAnsi="华文楷体" w:eastAsia="楷体_GB2312"/>
                <w:b/>
                <w:sz w:val="28"/>
                <w:szCs w:val="28"/>
              </w:rPr>
              <w:t>5.课程评估方法</w:t>
            </w:r>
          </w:p>
          <w:p>
            <w:pP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6" w:hRule="atLeast"/>
          <w:jc w:val="center"/>
        </w:trPr>
        <w:tc>
          <w:tcPr>
            <w:tcW w:w="9288" w:type="dxa"/>
            <w:gridSpan w:val="8"/>
          </w:tcPr>
          <w:p>
            <w:pPr>
              <w:rPr>
                <w:rFonts w:ascii="楷体_GB2312" w:hAnsi="华文楷体" w:eastAsia="楷体_GB2312"/>
                <w:b/>
                <w:sz w:val="28"/>
                <w:szCs w:val="28"/>
              </w:rPr>
            </w:pPr>
            <w:r>
              <w:rPr>
                <w:rFonts w:hint="eastAsia" w:ascii="楷体_GB2312" w:hAnsi="华文楷体" w:eastAsia="楷体_GB2312"/>
                <w:b/>
                <w:sz w:val="28"/>
                <w:szCs w:val="28"/>
              </w:rPr>
              <w:t>6.校享课程（选填）</w:t>
            </w:r>
          </w:p>
          <w:p>
            <w:pPr>
              <w:rPr>
                <w:rFonts w:ascii="楷体_GB2312" w:hAnsi="华文楷体" w:eastAsia="楷体_GB2312"/>
                <w:b/>
                <w:sz w:val="28"/>
                <w:szCs w:val="28"/>
              </w:rPr>
            </w:pPr>
            <w:r>
              <w:rPr>
                <w:rFonts w:hint="eastAsia" w:ascii="楷体_GB2312" w:hAnsi="华文楷体" w:eastAsia="楷体_GB2312"/>
                <w:b/>
                <w:sz w:val="28"/>
                <w:szCs w:val="28"/>
              </w:rPr>
              <w:t>（</w:t>
            </w:r>
            <w:r>
              <w:rPr>
                <w:rFonts w:hint="eastAsia" w:eastAsia="仿宋_GB2312"/>
                <w:kern w:val="0"/>
                <w:sz w:val="32"/>
                <w:szCs w:val="32"/>
              </w:rPr>
              <w:t>全校各学院青马学员的通识需求调研情况）</w:t>
            </w:r>
          </w:p>
        </w:tc>
      </w:tr>
    </w:tbl>
    <w:p>
      <w:pPr>
        <w:rPr>
          <w:vanish/>
        </w:rPr>
      </w:pPr>
    </w:p>
    <w:tbl>
      <w:tblPr>
        <w:tblStyle w:val="4"/>
        <w:tblpPr w:leftFromText="180" w:rightFromText="180" w:vertAnchor="text" w:horzAnchor="page" w:tblpX="1436" w:tblpY="122"/>
        <w:tblOverlap w:val="never"/>
        <w:tblW w:w="0" w:type="auto"/>
        <w:tblInd w:w="0" w:type="dxa"/>
        <w:tblLayout w:type="fixed"/>
        <w:tblCellMar>
          <w:top w:w="15" w:type="dxa"/>
          <w:left w:w="15" w:type="dxa"/>
          <w:bottom w:w="15" w:type="dxa"/>
          <w:right w:w="15" w:type="dxa"/>
        </w:tblCellMar>
      </w:tblPr>
      <w:tblGrid>
        <w:gridCol w:w="603"/>
        <w:gridCol w:w="8499"/>
      </w:tblGrid>
      <w:tr>
        <w:tblPrEx>
          <w:tblCellMar>
            <w:top w:w="15" w:type="dxa"/>
            <w:left w:w="15" w:type="dxa"/>
            <w:bottom w:w="15" w:type="dxa"/>
            <w:right w:w="15" w:type="dxa"/>
          </w:tblCellMar>
        </w:tblPrEx>
        <w:trPr>
          <w:trHeight w:val="420" w:hRule="atLeast"/>
        </w:trPr>
        <w:tc>
          <w:tcPr>
            <w:tcW w:w="9102" w:type="dxa"/>
            <w:gridSpan w:val="2"/>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黑体"/>
                <w:sz w:val="30"/>
                <w:szCs w:val="30"/>
              </w:rPr>
            </w:pPr>
            <w:r>
              <w:rPr>
                <w:rFonts w:hint="eastAsia" w:eastAsia="黑体"/>
                <w:sz w:val="30"/>
                <w:szCs w:val="30"/>
              </w:rPr>
              <w:t>六</w:t>
            </w:r>
            <w:r>
              <w:rPr>
                <w:rFonts w:eastAsia="黑体"/>
                <w:sz w:val="30"/>
                <w:szCs w:val="30"/>
              </w:rPr>
              <w:t>、审批意见</w:t>
            </w:r>
          </w:p>
        </w:tc>
      </w:tr>
      <w:tr>
        <w:tblPrEx>
          <w:tblCellMar>
            <w:top w:w="15" w:type="dxa"/>
            <w:left w:w="15" w:type="dxa"/>
            <w:bottom w:w="15" w:type="dxa"/>
            <w:right w:w="15" w:type="dxa"/>
          </w:tblCellMar>
        </w:tblPrEx>
        <w:trPr>
          <w:trHeight w:val="4345" w:hRule="atLeast"/>
        </w:trPr>
        <w:tc>
          <w:tcPr>
            <w:tcW w:w="60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楷体_GB2312" w:hAnsi="宋体" w:eastAsia="楷体_GB2312" w:cs="楷体_GB2312"/>
                <w:color w:val="000000"/>
                <w:sz w:val="28"/>
                <w:szCs w:val="28"/>
              </w:rPr>
            </w:pPr>
            <w:r>
              <w:rPr>
                <w:rFonts w:hint="eastAsia" w:ascii="楷体_GB2312" w:hAnsi="宋体" w:eastAsia="楷体_GB2312" w:cs="楷体_GB2312"/>
                <w:color w:val="000000"/>
                <w:kern w:val="0"/>
                <w:sz w:val="28"/>
                <w:szCs w:val="28"/>
                <w:lang w:bidi="ar"/>
              </w:rPr>
              <w:t>主管单位意见</w:t>
            </w:r>
          </w:p>
        </w:tc>
        <w:tc>
          <w:tcPr>
            <w:tcW w:w="8499" w:type="dxa"/>
            <w:tcBorders>
              <w:top w:val="single" w:color="auto" w:sz="4" w:space="0"/>
              <w:left w:val="single" w:color="auto" w:sz="4" w:space="0"/>
              <w:bottom w:val="single" w:color="auto" w:sz="4" w:space="0"/>
              <w:right w:val="single" w:color="auto" w:sz="4" w:space="0"/>
            </w:tcBorders>
          </w:tcPr>
          <w:p>
            <w:pPr>
              <w:widowControl/>
              <w:textAlignment w:val="top"/>
              <w:rPr>
                <w:rFonts w:ascii="楷体_GB2312" w:hAnsi="宋体" w:eastAsia="楷体_GB2312" w:cs="楷体_GB2312"/>
                <w:color w:val="000000"/>
                <w:kern w:val="0"/>
                <w:sz w:val="28"/>
                <w:szCs w:val="28"/>
                <w:lang w:bidi="ar"/>
              </w:rPr>
            </w:pPr>
          </w:p>
          <w:p>
            <w:pPr>
              <w:widowControl/>
              <w:textAlignment w:val="top"/>
              <w:rPr>
                <w:rFonts w:ascii="楷体_GB2312" w:hAnsi="宋体" w:eastAsia="楷体_GB2312" w:cs="楷体_GB2312"/>
                <w:color w:val="000000"/>
                <w:kern w:val="0"/>
                <w:sz w:val="28"/>
                <w:szCs w:val="28"/>
                <w:lang w:bidi="ar"/>
              </w:rPr>
            </w:pPr>
          </w:p>
          <w:p>
            <w:pPr>
              <w:widowControl/>
              <w:textAlignment w:val="top"/>
              <w:rPr>
                <w:rFonts w:ascii="楷体_GB2312" w:hAnsi="宋体" w:eastAsia="楷体_GB2312" w:cs="楷体_GB2312"/>
                <w:color w:val="000000"/>
                <w:kern w:val="0"/>
                <w:sz w:val="28"/>
                <w:szCs w:val="28"/>
                <w:lang w:bidi="ar"/>
              </w:rPr>
            </w:pPr>
          </w:p>
          <w:p>
            <w:pPr>
              <w:widowControl/>
              <w:ind w:firstLine="4200" w:firstLineChars="1500"/>
              <w:textAlignment w:val="top"/>
              <w:rPr>
                <w:rFonts w:ascii="楷体_GB2312" w:hAnsi="宋体" w:eastAsia="楷体_GB2312" w:cs="楷体_GB2312"/>
                <w:color w:val="000000"/>
                <w:kern w:val="0"/>
                <w:sz w:val="28"/>
                <w:szCs w:val="28"/>
                <w:lang w:bidi="ar"/>
              </w:rPr>
            </w:pPr>
            <w:r>
              <w:rPr>
                <w:rFonts w:hint="eastAsia" w:ascii="楷体_GB2312" w:hAnsi="宋体" w:eastAsia="楷体_GB2312" w:cs="楷体_GB2312"/>
                <w:color w:val="000000"/>
                <w:kern w:val="0"/>
                <w:sz w:val="28"/>
                <w:szCs w:val="28"/>
                <w:lang w:bidi="ar"/>
              </w:rPr>
              <w:t>签  章：</w:t>
            </w:r>
          </w:p>
          <w:p>
            <w:pPr>
              <w:widowControl/>
              <w:jc w:val="right"/>
              <w:textAlignment w:val="top"/>
              <w:rPr>
                <w:rFonts w:ascii="楷体_GB2312" w:hAnsi="宋体" w:eastAsia="楷体_GB2312" w:cs="楷体_GB2312"/>
                <w:color w:val="000000"/>
                <w:kern w:val="0"/>
                <w:sz w:val="28"/>
                <w:szCs w:val="28"/>
                <w:lang w:bidi="ar"/>
              </w:rPr>
            </w:pPr>
            <w:r>
              <w:rPr>
                <w:rFonts w:hint="eastAsia" w:ascii="楷体_GB2312" w:hAnsi="宋体" w:eastAsia="楷体_GB2312" w:cs="楷体_GB2312"/>
                <w:color w:val="000000"/>
                <w:kern w:val="0"/>
                <w:sz w:val="28"/>
                <w:szCs w:val="28"/>
                <w:lang w:bidi="ar"/>
              </w:rPr>
              <w:t>年  月  日</w:t>
            </w:r>
          </w:p>
        </w:tc>
      </w:tr>
      <w:tr>
        <w:tblPrEx>
          <w:tblCellMar>
            <w:top w:w="15" w:type="dxa"/>
            <w:left w:w="15" w:type="dxa"/>
            <w:bottom w:w="15" w:type="dxa"/>
            <w:right w:w="15" w:type="dxa"/>
          </w:tblCellMar>
        </w:tblPrEx>
        <w:trPr>
          <w:trHeight w:val="5722" w:hRule="atLeast"/>
        </w:trPr>
        <w:tc>
          <w:tcPr>
            <w:tcW w:w="60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楷体_GB2312" w:hAnsi="宋体" w:eastAsia="楷体_GB2312" w:cs="楷体_GB2312"/>
                <w:color w:val="000000"/>
                <w:sz w:val="28"/>
                <w:szCs w:val="28"/>
              </w:rPr>
            </w:pPr>
            <w:r>
              <w:rPr>
                <w:rStyle w:val="8"/>
                <w:rFonts w:hint="default" w:hAnsi="宋体"/>
                <w:lang w:bidi="ar"/>
              </w:rPr>
              <w:t>校团委意见</w:t>
            </w:r>
          </w:p>
        </w:tc>
        <w:tc>
          <w:tcPr>
            <w:tcW w:w="8499" w:type="dxa"/>
            <w:tcBorders>
              <w:top w:val="single" w:color="auto" w:sz="4" w:space="0"/>
              <w:left w:val="single" w:color="auto" w:sz="4" w:space="0"/>
              <w:bottom w:val="single" w:color="auto" w:sz="4" w:space="0"/>
              <w:right w:val="single" w:color="auto" w:sz="4" w:space="0"/>
            </w:tcBorders>
          </w:tcPr>
          <w:p>
            <w:pPr>
              <w:widowControl/>
              <w:ind w:firstLine="560" w:firstLineChars="200"/>
              <w:textAlignment w:val="top"/>
              <w:rPr>
                <w:rFonts w:ascii="楷体_GB2312" w:hAnsi="宋体" w:eastAsia="楷体_GB2312" w:cs="楷体_GB2312"/>
                <w:color w:val="000000"/>
                <w:kern w:val="0"/>
                <w:sz w:val="28"/>
                <w:szCs w:val="28"/>
                <w:lang w:bidi="ar"/>
              </w:rPr>
            </w:pPr>
          </w:p>
          <w:p>
            <w:pPr>
              <w:widowControl/>
              <w:ind w:firstLine="560" w:firstLineChars="200"/>
              <w:textAlignment w:val="top"/>
              <w:rPr>
                <w:rFonts w:ascii="楷体_GB2312" w:hAnsi="宋体" w:eastAsia="楷体_GB2312" w:cs="楷体_GB2312"/>
                <w:color w:val="000000"/>
                <w:kern w:val="0"/>
                <w:sz w:val="28"/>
                <w:szCs w:val="28"/>
                <w:lang w:bidi="ar"/>
              </w:rPr>
            </w:pPr>
          </w:p>
          <w:p>
            <w:pPr>
              <w:widowControl/>
              <w:ind w:firstLine="560" w:firstLineChars="200"/>
              <w:textAlignment w:val="top"/>
              <w:rPr>
                <w:rFonts w:ascii="楷体_GB2312" w:hAnsi="宋体" w:eastAsia="楷体_GB2312" w:cs="楷体_GB2312"/>
                <w:color w:val="000000"/>
                <w:kern w:val="0"/>
                <w:sz w:val="28"/>
                <w:szCs w:val="28"/>
                <w:lang w:bidi="ar"/>
              </w:rPr>
            </w:pPr>
          </w:p>
          <w:p>
            <w:pPr>
              <w:widowControl/>
              <w:ind w:firstLine="560" w:firstLineChars="200"/>
              <w:textAlignment w:val="top"/>
              <w:rPr>
                <w:rFonts w:ascii="楷体_GB2312" w:hAnsi="宋体" w:eastAsia="楷体_GB2312" w:cs="楷体_GB2312"/>
                <w:color w:val="000000"/>
                <w:kern w:val="0"/>
                <w:sz w:val="28"/>
                <w:szCs w:val="28"/>
                <w:lang w:bidi="ar"/>
              </w:rPr>
            </w:pPr>
            <w:r>
              <w:rPr>
                <w:rFonts w:hint="eastAsia" w:ascii="楷体_GB2312" w:hAnsi="宋体" w:eastAsia="楷体_GB2312" w:cs="楷体_GB2312"/>
                <w:color w:val="000000"/>
                <w:kern w:val="0"/>
                <w:sz w:val="28"/>
                <w:szCs w:val="28"/>
                <w:lang w:bidi="ar"/>
              </w:rPr>
              <w:t>是否同意立项：□是  □否，</w:t>
            </w:r>
          </w:p>
          <w:p>
            <w:pPr>
              <w:widowControl/>
              <w:textAlignment w:val="top"/>
              <w:rPr>
                <w:rStyle w:val="8"/>
                <w:rFonts w:hint="default" w:hAnsi="宋体"/>
                <w:lang w:bidi="ar"/>
              </w:rPr>
            </w:pPr>
          </w:p>
          <w:p>
            <w:pPr>
              <w:widowControl/>
              <w:jc w:val="left"/>
              <w:textAlignment w:val="top"/>
              <w:rPr>
                <w:rFonts w:ascii="楷体_GB2312" w:hAnsi="宋体" w:eastAsia="楷体_GB2312" w:cs="楷体_GB2312"/>
                <w:color w:val="000000"/>
                <w:kern w:val="0"/>
                <w:sz w:val="30"/>
                <w:szCs w:val="30"/>
                <w:lang w:bidi="ar"/>
              </w:rPr>
            </w:pPr>
            <w:r>
              <w:rPr>
                <w:rStyle w:val="8"/>
                <w:rFonts w:hint="default" w:hAnsi="宋体"/>
                <w:lang w:bidi="ar"/>
              </w:rPr>
              <w:t xml:space="preserve">                              签  章：</w:t>
            </w:r>
          </w:p>
          <w:p>
            <w:pPr>
              <w:widowControl/>
              <w:jc w:val="right"/>
              <w:textAlignment w:val="top"/>
              <w:rPr>
                <w:rFonts w:ascii="楷体_GB2312" w:hAnsi="宋体" w:eastAsia="楷体_GB2312" w:cs="楷体_GB2312"/>
                <w:color w:val="000000"/>
                <w:kern w:val="0"/>
                <w:sz w:val="28"/>
                <w:szCs w:val="28"/>
                <w:lang w:bidi="ar"/>
              </w:rPr>
            </w:pPr>
            <w:r>
              <w:rPr>
                <w:rFonts w:hint="eastAsia" w:ascii="楷体_GB2312" w:hAnsi="宋体" w:eastAsia="楷体_GB2312" w:cs="楷体_GB2312"/>
                <w:color w:val="000000"/>
                <w:kern w:val="0"/>
                <w:sz w:val="28"/>
                <w:szCs w:val="28"/>
                <w:lang w:bidi="ar"/>
              </w:rPr>
              <w:t>年   月   日</w:t>
            </w:r>
          </w:p>
        </w:tc>
      </w:tr>
      <w:tr>
        <w:tblPrEx>
          <w:tblCellMar>
            <w:top w:w="15" w:type="dxa"/>
            <w:left w:w="15" w:type="dxa"/>
            <w:bottom w:w="15" w:type="dxa"/>
            <w:right w:w="15" w:type="dxa"/>
          </w:tblCellMar>
        </w:tblPrEx>
        <w:trPr>
          <w:trHeight w:val="390" w:hRule="atLeast"/>
        </w:trPr>
        <w:tc>
          <w:tcPr>
            <w:tcW w:w="60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楷体_GB2312" w:hAnsi="宋体" w:eastAsia="楷体_GB2312" w:cs="楷体_GB2312"/>
                <w:color w:val="000000"/>
                <w:sz w:val="28"/>
                <w:szCs w:val="28"/>
              </w:rPr>
            </w:pPr>
            <w:r>
              <w:rPr>
                <w:rFonts w:hint="eastAsia" w:ascii="楷体_GB2312" w:hAnsi="宋体" w:eastAsia="楷体_GB2312" w:cs="楷体_GB2312"/>
                <w:color w:val="000000"/>
                <w:kern w:val="0"/>
                <w:sz w:val="28"/>
                <w:szCs w:val="28"/>
                <w:lang w:bidi="ar"/>
              </w:rPr>
              <w:t>备  注</w:t>
            </w:r>
          </w:p>
        </w:tc>
        <w:tc>
          <w:tcPr>
            <w:tcW w:w="849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 w:val="24"/>
                <w:szCs w:val="24"/>
              </w:rPr>
            </w:pPr>
          </w:p>
        </w:tc>
      </w:tr>
    </w:tbl>
    <w:p>
      <w:pPr>
        <w:tabs>
          <w:tab w:val="left" w:pos="5476"/>
        </w:tabs>
        <w:jc w:val="left"/>
      </w:pPr>
    </w:p>
    <w:p>
      <w:pPr>
        <w:ind w:firstLine="643" w:firstLineChars="200"/>
        <w:rPr>
          <w:rFonts w:ascii="楷体_GB2312" w:hAnsi="楷体_GB2312" w:eastAsia="楷体_GB2312" w:cs="楷体_GB2312"/>
          <w:b/>
          <w:bCs/>
          <w:sz w:val="32"/>
          <w:szCs w:val="32"/>
        </w:rPr>
        <w:sectPr>
          <w:pgSz w:w="11906" w:h="16838"/>
          <w:pgMar w:top="2098" w:right="1474" w:bottom="1984" w:left="1587" w:header="851" w:footer="992" w:gutter="0"/>
          <w:pgBorders>
            <w:top w:val="none" w:sz="0" w:space="0"/>
            <w:left w:val="none" w:sz="0" w:space="0"/>
            <w:bottom w:val="none" w:sz="0" w:space="0"/>
            <w:right w:val="none" w:sz="0" w:space="0"/>
          </w:pgBorders>
          <w:pgNumType w:fmt="numberInDash"/>
          <w:cols w:space="720" w:num="1"/>
          <w:docGrid w:type="lines" w:linePitch="318" w:charSpace="0"/>
        </w:sectPr>
      </w:pPr>
    </w:p>
    <w:p>
      <w:pPr>
        <w:rPr>
          <w:rFonts w:eastAsia="黑体"/>
          <w:sz w:val="32"/>
          <w:szCs w:val="32"/>
        </w:rPr>
      </w:pPr>
      <w:r>
        <w:rPr>
          <w:rFonts w:hint="eastAsia" w:eastAsia="黑体"/>
          <w:sz w:val="32"/>
          <w:szCs w:val="32"/>
        </w:rPr>
        <w:t>附件4</w:t>
      </w:r>
    </w:p>
    <w:p>
      <w:pPr>
        <w:jc w:val="center"/>
        <w:rPr>
          <w:rFonts w:ascii="方正小标宋简体" w:eastAsia="方正小标宋简体"/>
          <w:color w:val="000000" w:themeColor="text1"/>
          <w:sz w:val="42"/>
          <w:szCs w:val="42"/>
          <w14:textFill>
            <w14:solidFill>
              <w14:schemeClr w14:val="tx1"/>
            </w14:solidFill>
          </w14:textFill>
        </w:rPr>
      </w:pPr>
      <w:r>
        <w:rPr>
          <w:rFonts w:hint="eastAsia" w:ascii="方正小标宋简体" w:eastAsia="方正小标宋简体"/>
          <w:color w:val="000000" w:themeColor="text1"/>
          <w:sz w:val="42"/>
          <w:szCs w:val="42"/>
          <w14:textFill>
            <w14:solidFill>
              <w14:schemeClr w14:val="tx1"/>
            </w14:solidFill>
          </w14:textFill>
        </w:rPr>
        <w:t>东莞理工学院城市学院青马工程“两库”课程汇总表</w:t>
      </w:r>
    </w:p>
    <w:tbl>
      <w:tblPr>
        <w:tblStyle w:val="4"/>
        <w:tblW w:w="14176"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1418"/>
        <w:gridCol w:w="1341"/>
        <w:gridCol w:w="2160"/>
        <w:gridCol w:w="1455"/>
        <w:gridCol w:w="1989"/>
        <w:gridCol w:w="1985"/>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spacing w:line="6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培训时间</w:t>
            </w:r>
          </w:p>
        </w:tc>
        <w:tc>
          <w:tcPr>
            <w:tcW w:w="1418" w:type="dxa"/>
            <w:vAlign w:val="center"/>
          </w:tcPr>
          <w:p>
            <w:pPr>
              <w:spacing w:line="6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申报类别</w:t>
            </w:r>
          </w:p>
        </w:tc>
        <w:tc>
          <w:tcPr>
            <w:tcW w:w="1341" w:type="dxa"/>
            <w:vAlign w:val="center"/>
          </w:tcPr>
          <w:p>
            <w:pPr>
              <w:spacing w:line="6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课程类别</w:t>
            </w:r>
          </w:p>
        </w:tc>
        <w:tc>
          <w:tcPr>
            <w:tcW w:w="2160" w:type="dxa"/>
            <w:vAlign w:val="center"/>
          </w:tcPr>
          <w:p>
            <w:pPr>
              <w:spacing w:line="6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课程名称</w:t>
            </w:r>
          </w:p>
        </w:tc>
        <w:tc>
          <w:tcPr>
            <w:tcW w:w="1455" w:type="dxa"/>
            <w:vAlign w:val="center"/>
          </w:tcPr>
          <w:p>
            <w:pPr>
              <w:spacing w:line="6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授课人</w:t>
            </w:r>
          </w:p>
        </w:tc>
        <w:tc>
          <w:tcPr>
            <w:tcW w:w="1989" w:type="dxa"/>
            <w:vAlign w:val="center"/>
          </w:tcPr>
          <w:p>
            <w:pPr>
              <w:spacing w:line="6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所在单位</w:t>
            </w:r>
          </w:p>
        </w:tc>
        <w:tc>
          <w:tcPr>
            <w:tcW w:w="1985" w:type="dxa"/>
          </w:tcPr>
          <w:p>
            <w:pPr>
              <w:spacing w:line="6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学员参与人数</w:t>
            </w:r>
          </w:p>
        </w:tc>
        <w:tc>
          <w:tcPr>
            <w:tcW w:w="1276" w:type="dxa"/>
            <w:vAlign w:val="center"/>
          </w:tcPr>
          <w:p>
            <w:pPr>
              <w:spacing w:line="6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学时数</w:t>
            </w:r>
          </w:p>
        </w:tc>
        <w:tc>
          <w:tcPr>
            <w:tcW w:w="992" w:type="dxa"/>
            <w:vAlign w:val="center"/>
          </w:tcPr>
          <w:p>
            <w:pPr>
              <w:spacing w:line="6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1560" w:type="dxa"/>
            <w:vAlign w:val="center"/>
          </w:tcPr>
          <w:p>
            <w:pPr>
              <w:spacing w:line="400" w:lineRule="exact"/>
              <w:jc w:val="left"/>
              <w:rPr>
                <w:rFonts w:ascii="仿宋_GB2312" w:hAnsi="仿宋_GB2312" w:eastAsia="仿宋_GB2312" w:cs="仿宋_GB2312"/>
                <w:w w:val="50"/>
                <w:kern w:val="0"/>
                <w:sz w:val="28"/>
                <w:szCs w:val="28"/>
              </w:rPr>
            </w:pPr>
            <w:r>
              <w:rPr>
                <w:rFonts w:hint="eastAsia" w:ascii="仿宋_GB2312" w:hAnsi="仿宋_GB2312" w:eastAsia="仿宋_GB2312" w:cs="仿宋_GB2312"/>
                <w:w w:val="50"/>
                <w:kern w:val="0"/>
                <w:sz w:val="28"/>
                <w:szCs w:val="28"/>
              </w:rPr>
              <w:t>例：</w:t>
            </w:r>
            <w:bookmarkStart w:id="0" w:name="_Hlk56932682"/>
            <w:r>
              <w:rPr>
                <w:rFonts w:ascii="仿宋_GB2312" w:hAnsi="仿宋_GB2312" w:eastAsia="仿宋_GB2312" w:cs="仿宋_GB2312"/>
                <w:w w:val="50"/>
                <w:kern w:val="0"/>
                <w:sz w:val="28"/>
                <w:szCs w:val="28"/>
              </w:rPr>
              <w:t>202</w:t>
            </w:r>
            <w:r>
              <w:rPr>
                <w:rFonts w:hint="eastAsia" w:ascii="仿宋_GB2312" w:hAnsi="仿宋_GB2312" w:eastAsia="仿宋_GB2312" w:cs="仿宋_GB2312"/>
                <w:w w:val="50"/>
                <w:kern w:val="0"/>
                <w:sz w:val="28"/>
                <w:szCs w:val="28"/>
              </w:rPr>
              <w:t>1年3月10日</w:t>
            </w:r>
            <w:bookmarkEnd w:id="0"/>
            <w:r>
              <w:rPr>
                <w:rFonts w:hint="eastAsia" w:ascii="仿宋_GB2312" w:hAnsi="仿宋_GB2312" w:eastAsia="仿宋_GB2312" w:cs="仿宋_GB2312"/>
                <w:w w:val="50"/>
                <w:kern w:val="0"/>
                <w:sz w:val="28"/>
                <w:szCs w:val="28"/>
              </w:rPr>
              <w:t>下午56节</w:t>
            </w:r>
          </w:p>
        </w:tc>
        <w:tc>
          <w:tcPr>
            <w:tcW w:w="1418" w:type="dxa"/>
            <w:vAlign w:val="center"/>
          </w:tcPr>
          <w:p>
            <w:pPr>
              <w:spacing w:line="400" w:lineRule="exact"/>
              <w:jc w:val="left"/>
              <w:rPr>
                <w:rFonts w:ascii="仿宋_GB2312" w:hAnsi="仿宋_GB2312" w:eastAsia="仿宋_GB2312" w:cs="仿宋_GB2312"/>
                <w:w w:val="50"/>
                <w:kern w:val="0"/>
                <w:sz w:val="28"/>
                <w:szCs w:val="28"/>
              </w:rPr>
            </w:pPr>
            <w:r>
              <w:rPr>
                <w:rFonts w:hint="eastAsia" w:ascii="仿宋_GB2312" w:hAnsi="仿宋_GB2312" w:eastAsia="仿宋_GB2312" w:cs="仿宋_GB2312"/>
                <w:w w:val="50"/>
                <w:kern w:val="0"/>
                <w:sz w:val="28"/>
                <w:szCs w:val="28"/>
              </w:rPr>
              <w:t>院级精品课程</w:t>
            </w:r>
          </w:p>
        </w:tc>
        <w:tc>
          <w:tcPr>
            <w:tcW w:w="1341" w:type="dxa"/>
            <w:vAlign w:val="center"/>
          </w:tcPr>
          <w:p>
            <w:pPr>
              <w:spacing w:line="400" w:lineRule="exact"/>
              <w:jc w:val="center"/>
              <w:rPr>
                <w:rFonts w:ascii="仿宋_GB2312" w:hAnsi="仿宋_GB2312" w:eastAsia="仿宋_GB2312" w:cs="仿宋_GB2312"/>
                <w:kern w:val="28"/>
                <w:sz w:val="28"/>
                <w:szCs w:val="28"/>
              </w:rPr>
            </w:pPr>
            <w:r>
              <w:rPr>
                <w:rFonts w:hint="eastAsia" w:ascii="仿宋_GB2312" w:hAnsi="仿宋_GB2312" w:eastAsia="仿宋_GB2312" w:cs="仿宋_GB2312"/>
                <w:kern w:val="28"/>
                <w:sz w:val="28"/>
                <w:szCs w:val="28"/>
              </w:rPr>
              <w:t>专项调研</w:t>
            </w:r>
          </w:p>
        </w:tc>
        <w:tc>
          <w:tcPr>
            <w:tcW w:w="2160" w:type="dxa"/>
            <w:vAlign w:val="center"/>
          </w:tcPr>
          <w:p>
            <w:pPr>
              <w:spacing w:line="400" w:lineRule="exact"/>
              <w:jc w:val="left"/>
              <w:rPr>
                <w:rFonts w:ascii="仿宋_GB2312" w:hAnsi="仿宋_GB2312" w:eastAsia="仿宋_GB2312" w:cs="仿宋_GB2312"/>
                <w:w w:val="50"/>
                <w:kern w:val="0"/>
                <w:sz w:val="28"/>
                <w:szCs w:val="28"/>
              </w:rPr>
            </w:pPr>
          </w:p>
        </w:tc>
        <w:tc>
          <w:tcPr>
            <w:tcW w:w="1455" w:type="dxa"/>
            <w:vAlign w:val="center"/>
          </w:tcPr>
          <w:p>
            <w:pPr>
              <w:spacing w:line="400" w:lineRule="exact"/>
              <w:jc w:val="center"/>
              <w:rPr>
                <w:rFonts w:ascii="仿宋_GB2312" w:hAnsi="仿宋_GB2312" w:eastAsia="仿宋_GB2312" w:cs="仿宋_GB2312"/>
                <w:kern w:val="28"/>
                <w:sz w:val="28"/>
                <w:szCs w:val="28"/>
              </w:rPr>
            </w:pPr>
          </w:p>
        </w:tc>
        <w:tc>
          <w:tcPr>
            <w:tcW w:w="1989" w:type="dxa"/>
            <w:vAlign w:val="center"/>
          </w:tcPr>
          <w:p>
            <w:pPr>
              <w:spacing w:line="400" w:lineRule="exact"/>
              <w:jc w:val="center"/>
              <w:rPr>
                <w:rFonts w:ascii="仿宋_GB2312" w:hAnsi="仿宋_GB2312" w:eastAsia="仿宋_GB2312" w:cs="仿宋_GB2312"/>
                <w:kern w:val="28"/>
                <w:sz w:val="28"/>
                <w:szCs w:val="28"/>
              </w:rPr>
            </w:pPr>
          </w:p>
        </w:tc>
        <w:tc>
          <w:tcPr>
            <w:tcW w:w="1985" w:type="dxa"/>
          </w:tcPr>
          <w:p>
            <w:pPr>
              <w:spacing w:line="400" w:lineRule="exact"/>
              <w:jc w:val="center"/>
              <w:rPr>
                <w:rFonts w:ascii="仿宋_GB2312" w:hAnsi="仿宋_GB2312" w:eastAsia="仿宋_GB2312" w:cs="仿宋_GB2312"/>
                <w:kern w:val="28"/>
                <w:sz w:val="28"/>
                <w:szCs w:val="28"/>
              </w:rPr>
            </w:pPr>
          </w:p>
        </w:tc>
        <w:tc>
          <w:tcPr>
            <w:tcW w:w="1276" w:type="dxa"/>
            <w:vAlign w:val="center"/>
          </w:tcPr>
          <w:p>
            <w:pPr>
              <w:spacing w:line="400" w:lineRule="exact"/>
              <w:jc w:val="center"/>
              <w:rPr>
                <w:rFonts w:ascii="仿宋_GB2312" w:hAnsi="仿宋_GB2312" w:eastAsia="仿宋_GB2312" w:cs="仿宋_GB2312"/>
                <w:kern w:val="28"/>
                <w:sz w:val="28"/>
                <w:szCs w:val="28"/>
              </w:rPr>
            </w:pPr>
          </w:p>
        </w:tc>
        <w:tc>
          <w:tcPr>
            <w:tcW w:w="992" w:type="dxa"/>
            <w:vAlign w:val="center"/>
          </w:tcPr>
          <w:p>
            <w:pPr>
              <w:spacing w:line="400" w:lineRule="exact"/>
              <w:jc w:val="left"/>
              <w:rPr>
                <w:rFonts w:ascii="仿宋_GB2312" w:hAnsi="仿宋_GB2312" w:eastAsia="仿宋_GB2312" w:cs="仿宋_GB2312"/>
                <w:w w:val="5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spacing w:line="600" w:lineRule="exact"/>
              <w:jc w:val="left"/>
              <w:rPr>
                <w:rFonts w:ascii="仿宋_GB2312" w:hAnsi="仿宋_GB2312" w:eastAsia="仿宋_GB2312" w:cs="仿宋_GB2312"/>
                <w:w w:val="50"/>
                <w:kern w:val="0"/>
                <w:sz w:val="28"/>
                <w:szCs w:val="28"/>
              </w:rPr>
            </w:pPr>
          </w:p>
        </w:tc>
        <w:tc>
          <w:tcPr>
            <w:tcW w:w="1418" w:type="dxa"/>
          </w:tcPr>
          <w:p>
            <w:pPr>
              <w:spacing w:line="600" w:lineRule="exact"/>
              <w:jc w:val="left"/>
              <w:rPr>
                <w:rFonts w:ascii="仿宋_GB2312" w:hAnsi="仿宋_GB2312" w:eastAsia="仿宋_GB2312" w:cs="仿宋_GB2312"/>
                <w:w w:val="50"/>
                <w:kern w:val="0"/>
                <w:sz w:val="28"/>
                <w:szCs w:val="28"/>
              </w:rPr>
            </w:pPr>
          </w:p>
        </w:tc>
        <w:tc>
          <w:tcPr>
            <w:tcW w:w="1341" w:type="dxa"/>
          </w:tcPr>
          <w:p>
            <w:pPr>
              <w:spacing w:line="400" w:lineRule="exact"/>
              <w:jc w:val="center"/>
              <w:rPr>
                <w:rFonts w:ascii="仿宋_GB2312" w:hAnsi="仿宋_GB2312" w:eastAsia="仿宋_GB2312" w:cs="仿宋_GB2312"/>
                <w:kern w:val="28"/>
                <w:sz w:val="28"/>
                <w:szCs w:val="28"/>
              </w:rPr>
            </w:pPr>
          </w:p>
        </w:tc>
        <w:tc>
          <w:tcPr>
            <w:tcW w:w="2160" w:type="dxa"/>
          </w:tcPr>
          <w:p>
            <w:pPr>
              <w:spacing w:line="600" w:lineRule="exact"/>
              <w:jc w:val="left"/>
              <w:rPr>
                <w:rFonts w:ascii="仿宋_GB2312" w:hAnsi="仿宋_GB2312" w:eastAsia="仿宋_GB2312" w:cs="仿宋_GB2312"/>
                <w:w w:val="50"/>
                <w:kern w:val="0"/>
                <w:sz w:val="28"/>
                <w:szCs w:val="28"/>
              </w:rPr>
            </w:pPr>
          </w:p>
        </w:tc>
        <w:tc>
          <w:tcPr>
            <w:tcW w:w="1455" w:type="dxa"/>
          </w:tcPr>
          <w:p>
            <w:pPr>
              <w:spacing w:line="400" w:lineRule="exact"/>
              <w:jc w:val="center"/>
              <w:rPr>
                <w:rFonts w:ascii="仿宋_GB2312" w:hAnsi="仿宋_GB2312" w:eastAsia="仿宋_GB2312" w:cs="仿宋_GB2312"/>
                <w:kern w:val="28"/>
                <w:sz w:val="28"/>
                <w:szCs w:val="28"/>
              </w:rPr>
            </w:pPr>
          </w:p>
        </w:tc>
        <w:tc>
          <w:tcPr>
            <w:tcW w:w="1989" w:type="dxa"/>
          </w:tcPr>
          <w:p>
            <w:pPr>
              <w:spacing w:line="400" w:lineRule="exact"/>
              <w:jc w:val="center"/>
              <w:rPr>
                <w:rFonts w:ascii="仿宋_GB2312" w:hAnsi="仿宋_GB2312" w:eastAsia="仿宋_GB2312" w:cs="仿宋_GB2312"/>
                <w:kern w:val="28"/>
                <w:sz w:val="28"/>
                <w:szCs w:val="28"/>
              </w:rPr>
            </w:pPr>
          </w:p>
        </w:tc>
        <w:tc>
          <w:tcPr>
            <w:tcW w:w="1985" w:type="dxa"/>
          </w:tcPr>
          <w:p>
            <w:pPr>
              <w:spacing w:line="400" w:lineRule="exact"/>
              <w:jc w:val="center"/>
              <w:rPr>
                <w:rFonts w:ascii="仿宋_GB2312" w:hAnsi="仿宋_GB2312" w:eastAsia="仿宋_GB2312" w:cs="仿宋_GB2312"/>
                <w:kern w:val="28"/>
                <w:sz w:val="28"/>
                <w:szCs w:val="28"/>
              </w:rPr>
            </w:pPr>
          </w:p>
        </w:tc>
        <w:tc>
          <w:tcPr>
            <w:tcW w:w="1276" w:type="dxa"/>
          </w:tcPr>
          <w:p>
            <w:pPr>
              <w:spacing w:line="400" w:lineRule="exact"/>
              <w:jc w:val="center"/>
              <w:rPr>
                <w:rFonts w:ascii="仿宋_GB2312" w:hAnsi="仿宋_GB2312" w:eastAsia="仿宋_GB2312" w:cs="仿宋_GB2312"/>
                <w:kern w:val="28"/>
                <w:sz w:val="28"/>
                <w:szCs w:val="28"/>
              </w:rPr>
            </w:pPr>
          </w:p>
        </w:tc>
        <w:tc>
          <w:tcPr>
            <w:tcW w:w="992" w:type="dxa"/>
          </w:tcPr>
          <w:p>
            <w:pPr>
              <w:spacing w:line="600" w:lineRule="exact"/>
              <w:jc w:val="left"/>
              <w:rPr>
                <w:rFonts w:ascii="仿宋_GB2312" w:hAnsi="仿宋_GB2312" w:eastAsia="仿宋_GB2312" w:cs="仿宋_GB2312"/>
                <w:w w:val="5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spacing w:line="600" w:lineRule="exact"/>
              <w:jc w:val="left"/>
              <w:rPr>
                <w:rFonts w:ascii="仿宋_GB2312" w:hAnsi="仿宋_GB2312" w:eastAsia="仿宋_GB2312" w:cs="仿宋_GB2312"/>
                <w:w w:val="50"/>
                <w:kern w:val="0"/>
                <w:sz w:val="28"/>
                <w:szCs w:val="28"/>
              </w:rPr>
            </w:pPr>
          </w:p>
        </w:tc>
        <w:tc>
          <w:tcPr>
            <w:tcW w:w="1418" w:type="dxa"/>
          </w:tcPr>
          <w:p>
            <w:pPr>
              <w:spacing w:line="600" w:lineRule="exact"/>
              <w:jc w:val="left"/>
              <w:rPr>
                <w:rFonts w:ascii="仿宋_GB2312" w:hAnsi="仿宋_GB2312" w:eastAsia="仿宋_GB2312" w:cs="仿宋_GB2312"/>
                <w:w w:val="50"/>
                <w:kern w:val="0"/>
                <w:sz w:val="28"/>
                <w:szCs w:val="28"/>
              </w:rPr>
            </w:pPr>
          </w:p>
        </w:tc>
        <w:tc>
          <w:tcPr>
            <w:tcW w:w="1341" w:type="dxa"/>
          </w:tcPr>
          <w:p>
            <w:pPr>
              <w:spacing w:line="400" w:lineRule="exact"/>
              <w:jc w:val="center"/>
              <w:rPr>
                <w:rFonts w:ascii="仿宋_GB2312" w:hAnsi="仿宋_GB2312" w:eastAsia="仿宋_GB2312" w:cs="仿宋_GB2312"/>
                <w:kern w:val="28"/>
                <w:sz w:val="28"/>
                <w:szCs w:val="28"/>
              </w:rPr>
            </w:pPr>
          </w:p>
        </w:tc>
        <w:tc>
          <w:tcPr>
            <w:tcW w:w="2160" w:type="dxa"/>
          </w:tcPr>
          <w:p>
            <w:pPr>
              <w:spacing w:line="600" w:lineRule="exact"/>
              <w:jc w:val="left"/>
              <w:rPr>
                <w:rFonts w:ascii="仿宋_GB2312" w:hAnsi="仿宋_GB2312" w:eastAsia="仿宋_GB2312" w:cs="仿宋_GB2312"/>
                <w:w w:val="50"/>
                <w:kern w:val="0"/>
                <w:sz w:val="28"/>
                <w:szCs w:val="28"/>
              </w:rPr>
            </w:pPr>
          </w:p>
        </w:tc>
        <w:tc>
          <w:tcPr>
            <w:tcW w:w="1455" w:type="dxa"/>
          </w:tcPr>
          <w:p>
            <w:pPr>
              <w:spacing w:line="400" w:lineRule="exact"/>
              <w:jc w:val="center"/>
              <w:rPr>
                <w:rFonts w:ascii="仿宋_GB2312" w:hAnsi="仿宋_GB2312" w:eastAsia="仿宋_GB2312" w:cs="仿宋_GB2312"/>
                <w:kern w:val="28"/>
                <w:sz w:val="28"/>
                <w:szCs w:val="28"/>
              </w:rPr>
            </w:pPr>
          </w:p>
        </w:tc>
        <w:tc>
          <w:tcPr>
            <w:tcW w:w="1989" w:type="dxa"/>
          </w:tcPr>
          <w:p>
            <w:pPr>
              <w:spacing w:line="400" w:lineRule="exact"/>
              <w:jc w:val="center"/>
              <w:rPr>
                <w:rFonts w:ascii="仿宋_GB2312" w:hAnsi="仿宋_GB2312" w:eastAsia="仿宋_GB2312" w:cs="仿宋_GB2312"/>
                <w:kern w:val="28"/>
                <w:sz w:val="28"/>
                <w:szCs w:val="28"/>
              </w:rPr>
            </w:pPr>
          </w:p>
        </w:tc>
        <w:tc>
          <w:tcPr>
            <w:tcW w:w="1985" w:type="dxa"/>
          </w:tcPr>
          <w:p>
            <w:pPr>
              <w:spacing w:line="400" w:lineRule="exact"/>
              <w:jc w:val="center"/>
              <w:rPr>
                <w:rFonts w:ascii="仿宋_GB2312" w:hAnsi="仿宋_GB2312" w:eastAsia="仿宋_GB2312" w:cs="仿宋_GB2312"/>
                <w:kern w:val="28"/>
                <w:sz w:val="28"/>
                <w:szCs w:val="28"/>
              </w:rPr>
            </w:pPr>
          </w:p>
        </w:tc>
        <w:tc>
          <w:tcPr>
            <w:tcW w:w="1276" w:type="dxa"/>
          </w:tcPr>
          <w:p>
            <w:pPr>
              <w:spacing w:line="400" w:lineRule="exact"/>
              <w:jc w:val="center"/>
              <w:rPr>
                <w:rFonts w:ascii="仿宋_GB2312" w:hAnsi="仿宋_GB2312" w:eastAsia="仿宋_GB2312" w:cs="仿宋_GB2312"/>
                <w:kern w:val="28"/>
                <w:sz w:val="28"/>
                <w:szCs w:val="28"/>
              </w:rPr>
            </w:pPr>
          </w:p>
        </w:tc>
        <w:tc>
          <w:tcPr>
            <w:tcW w:w="992" w:type="dxa"/>
          </w:tcPr>
          <w:p>
            <w:pPr>
              <w:spacing w:line="600" w:lineRule="exact"/>
              <w:jc w:val="left"/>
              <w:rPr>
                <w:rFonts w:ascii="仿宋_GB2312" w:hAnsi="仿宋_GB2312" w:eastAsia="仿宋_GB2312" w:cs="仿宋_GB2312"/>
                <w:w w:val="5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spacing w:line="600" w:lineRule="exact"/>
              <w:jc w:val="left"/>
              <w:rPr>
                <w:rFonts w:ascii="仿宋_GB2312" w:hAnsi="仿宋_GB2312" w:eastAsia="仿宋_GB2312" w:cs="仿宋_GB2312"/>
                <w:w w:val="50"/>
                <w:kern w:val="0"/>
                <w:sz w:val="28"/>
                <w:szCs w:val="28"/>
              </w:rPr>
            </w:pPr>
          </w:p>
        </w:tc>
        <w:tc>
          <w:tcPr>
            <w:tcW w:w="1418" w:type="dxa"/>
          </w:tcPr>
          <w:p>
            <w:pPr>
              <w:spacing w:line="600" w:lineRule="exact"/>
              <w:jc w:val="left"/>
              <w:rPr>
                <w:rFonts w:ascii="仿宋_GB2312" w:hAnsi="仿宋_GB2312" w:eastAsia="仿宋_GB2312" w:cs="仿宋_GB2312"/>
                <w:w w:val="50"/>
                <w:kern w:val="0"/>
                <w:sz w:val="28"/>
                <w:szCs w:val="28"/>
              </w:rPr>
            </w:pPr>
          </w:p>
        </w:tc>
        <w:tc>
          <w:tcPr>
            <w:tcW w:w="1341" w:type="dxa"/>
          </w:tcPr>
          <w:p>
            <w:pPr>
              <w:spacing w:line="400" w:lineRule="exact"/>
              <w:jc w:val="center"/>
              <w:rPr>
                <w:rFonts w:ascii="仿宋_GB2312" w:hAnsi="仿宋_GB2312" w:eastAsia="仿宋_GB2312" w:cs="仿宋_GB2312"/>
                <w:kern w:val="28"/>
                <w:sz w:val="28"/>
                <w:szCs w:val="28"/>
              </w:rPr>
            </w:pPr>
          </w:p>
        </w:tc>
        <w:tc>
          <w:tcPr>
            <w:tcW w:w="2160" w:type="dxa"/>
          </w:tcPr>
          <w:p>
            <w:pPr>
              <w:spacing w:line="600" w:lineRule="exact"/>
              <w:jc w:val="left"/>
              <w:rPr>
                <w:rFonts w:ascii="仿宋_GB2312" w:hAnsi="仿宋_GB2312" w:eastAsia="仿宋_GB2312" w:cs="仿宋_GB2312"/>
                <w:w w:val="50"/>
                <w:kern w:val="0"/>
                <w:sz w:val="28"/>
                <w:szCs w:val="28"/>
              </w:rPr>
            </w:pPr>
          </w:p>
        </w:tc>
        <w:tc>
          <w:tcPr>
            <w:tcW w:w="1455" w:type="dxa"/>
          </w:tcPr>
          <w:p>
            <w:pPr>
              <w:spacing w:line="400" w:lineRule="exact"/>
              <w:jc w:val="center"/>
              <w:rPr>
                <w:rFonts w:ascii="仿宋_GB2312" w:hAnsi="仿宋_GB2312" w:eastAsia="仿宋_GB2312" w:cs="仿宋_GB2312"/>
                <w:kern w:val="28"/>
                <w:sz w:val="28"/>
                <w:szCs w:val="28"/>
              </w:rPr>
            </w:pPr>
          </w:p>
        </w:tc>
        <w:tc>
          <w:tcPr>
            <w:tcW w:w="1989" w:type="dxa"/>
          </w:tcPr>
          <w:p>
            <w:pPr>
              <w:spacing w:line="400" w:lineRule="exact"/>
              <w:jc w:val="center"/>
              <w:rPr>
                <w:rFonts w:ascii="仿宋_GB2312" w:hAnsi="仿宋_GB2312" w:eastAsia="仿宋_GB2312" w:cs="仿宋_GB2312"/>
                <w:kern w:val="28"/>
                <w:sz w:val="28"/>
                <w:szCs w:val="28"/>
              </w:rPr>
            </w:pPr>
          </w:p>
        </w:tc>
        <w:tc>
          <w:tcPr>
            <w:tcW w:w="1985" w:type="dxa"/>
          </w:tcPr>
          <w:p>
            <w:pPr>
              <w:spacing w:line="400" w:lineRule="exact"/>
              <w:jc w:val="center"/>
              <w:rPr>
                <w:rFonts w:ascii="仿宋_GB2312" w:hAnsi="仿宋_GB2312" w:eastAsia="仿宋_GB2312" w:cs="仿宋_GB2312"/>
                <w:kern w:val="28"/>
                <w:sz w:val="28"/>
                <w:szCs w:val="28"/>
              </w:rPr>
            </w:pPr>
          </w:p>
        </w:tc>
        <w:tc>
          <w:tcPr>
            <w:tcW w:w="1276" w:type="dxa"/>
          </w:tcPr>
          <w:p>
            <w:pPr>
              <w:spacing w:line="400" w:lineRule="exact"/>
              <w:jc w:val="center"/>
              <w:rPr>
                <w:rFonts w:ascii="仿宋_GB2312" w:hAnsi="仿宋_GB2312" w:eastAsia="仿宋_GB2312" w:cs="仿宋_GB2312"/>
                <w:kern w:val="28"/>
                <w:sz w:val="28"/>
                <w:szCs w:val="28"/>
              </w:rPr>
            </w:pPr>
          </w:p>
        </w:tc>
        <w:tc>
          <w:tcPr>
            <w:tcW w:w="992" w:type="dxa"/>
          </w:tcPr>
          <w:p>
            <w:pPr>
              <w:spacing w:line="600" w:lineRule="exact"/>
              <w:jc w:val="left"/>
              <w:rPr>
                <w:rFonts w:ascii="仿宋_GB2312" w:hAnsi="仿宋_GB2312" w:eastAsia="仿宋_GB2312" w:cs="仿宋_GB2312"/>
                <w:w w:val="5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spacing w:line="600" w:lineRule="exact"/>
              <w:jc w:val="left"/>
              <w:rPr>
                <w:rFonts w:ascii="仿宋_GB2312" w:hAnsi="仿宋_GB2312" w:eastAsia="仿宋_GB2312" w:cs="仿宋_GB2312"/>
                <w:w w:val="50"/>
                <w:kern w:val="0"/>
                <w:sz w:val="28"/>
                <w:szCs w:val="28"/>
              </w:rPr>
            </w:pPr>
          </w:p>
        </w:tc>
        <w:tc>
          <w:tcPr>
            <w:tcW w:w="1418" w:type="dxa"/>
          </w:tcPr>
          <w:p>
            <w:pPr>
              <w:spacing w:line="600" w:lineRule="exact"/>
              <w:jc w:val="left"/>
              <w:rPr>
                <w:rFonts w:ascii="仿宋_GB2312" w:hAnsi="仿宋_GB2312" w:eastAsia="仿宋_GB2312" w:cs="仿宋_GB2312"/>
                <w:w w:val="50"/>
                <w:kern w:val="0"/>
                <w:sz w:val="28"/>
                <w:szCs w:val="28"/>
              </w:rPr>
            </w:pPr>
          </w:p>
        </w:tc>
        <w:tc>
          <w:tcPr>
            <w:tcW w:w="1341" w:type="dxa"/>
          </w:tcPr>
          <w:p>
            <w:pPr>
              <w:spacing w:line="400" w:lineRule="exact"/>
              <w:jc w:val="center"/>
              <w:rPr>
                <w:rFonts w:ascii="仿宋_GB2312" w:hAnsi="仿宋_GB2312" w:eastAsia="仿宋_GB2312" w:cs="仿宋_GB2312"/>
                <w:kern w:val="28"/>
                <w:sz w:val="28"/>
                <w:szCs w:val="28"/>
              </w:rPr>
            </w:pPr>
          </w:p>
        </w:tc>
        <w:tc>
          <w:tcPr>
            <w:tcW w:w="2160" w:type="dxa"/>
          </w:tcPr>
          <w:p>
            <w:pPr>
              <w:spacing w:line="600" w:lineRule="exact"/>
              <w:jc w:val="left"/>
              <w:rPr>
                <w:rFonts w:ascii="仿宋_GB2312" w:hAnsi="仿宋_GB2312" w:eastAsia="仿宋_GB2312" w:cs="仿宋_GB2312"/>
                <w:w w:val="50"/>
                <w:kern w:val="0"/>
                <w:sz w:val="28"/>
                <w:szCs w:val="28"/>
              </w:rPr>
            </w:pPr>
          </w:p>
        </w:tc>
        <w:tc>
          <w:tcPr>
            <w:tcW w:w="1455" w:type="dxa"/>
          </w:tcPr>
          <w:p>
            <w:pPr>
              <w:spacing w:line="400" w:lineRule="exact"/>
              <w:jc w:val="center"/>
              <w:rPr>
                <w:rFonts w:ascii="仿宋_GB2312" w:hAnsi="仿宋_GB2312" w:eastAsia="仿宋_GB2312" w:cs="仿宋_GB2312"/>
                <w:kern w:val="28"/>
                <w:sz w:val="28"/>
                <w:szCs w:val="28"/>
              </w:rPr>
            </w:pPr>
          </w:p>
        </w:tc>
        <w:tc>
          <w:tcPr>
            <w:tcW w:w="1989" w:type="dxa"/>
          </w:tcPr>
          <w:p>
            <w:pPr>
              <w:spacing w:line="400" w:lineRule="exact"/>
              <w:jc w:val="center"/>
              <w:rPr>
                <w:rFonts w:ascii="仿宋_GB2312" w:hAnsi="仿宋_GB2312" w:eastAsia="仿宋_GB2312" w:cs="仿宋_GB2312"/>
                <w:kern w:val="28"/>
                <w:sz w:val="28"/>
                <w:szCs w:val="28"/>
              </w:rPr>
            </w:pPr>
          </w:p>
        </w:tc>
        <w:tc>
          <w:tcPr>
            <w:tcW w:w="1985" w:type="dxa"/>
          </w:tcPr>
          <w:p>
            <w:pPr>
              <w:spacing w:line="400" w:lineRule="exact"/>
              <w:jc w:val="center"/>
              <w:rPr>
                <w:rFonts w:ascii="仿宋_GB2312" w:hAnsi="仿宋_GB2312" w:eastAsia="仿宋_GB2312" w:cs="仿宋_GB2312"/>
                <w:kern w:val="28"/>
                <w:sz w:val="28"/>
                <w:szCs w:val="28"/>
              </w:rPr>
            </w:pPr>
          </w:p>
        </w:tc>
        <w:tc>
          <w:tcPr>
            <w:tcW w:w="1276" w:type="dxa"/>
          </w:tcPr>
          <w:p>
            <w:pPr>
              <w:spacing w:line="400" w:lineRule="exact"/>
              <w:jc w:val="center"/>
              <w:rPr>
                <w:rFonts w:ascii="仿宋_GB2312" w:hAnsi="仿宋_GB2312" w:eastAsia="仿宋_GB2312" w:cs="仿宋_GB2312"/>
                <w:kern w:val="28"/>
                <w:sz w:val="28"/>
                <w:szCs w:val="28"/>
              </w:rPr>
            </w:pPr>
          </w:p>
        </w:tc>
        <w:tc>
          <w:tcPr>
            <w:tcW w:w="992" w:type="dxa"/>
          </w:tcPr>
          <w:p>
            <w:pPr>
              <w:spacing w:line="600" w:lineRule="exact"/>
              <w:jc w:val="left"/>
              <w:rPr>
                <w:rFonts w:ascii="仿宋_GB2312" w:hAnsi="仿宋_GB2312" w:eastAsia="仿宋_GB2312" w:cs="仿宋_GB2312"/>
                <w:w w:val="5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spacing w:line="600" w:lineRule="exact"/>
              <w:jc w:val="left"/>
              <w:rPr>
                <w:rFonts w:ascii="仿宋_GB2312" w:hAnsi="仿宋_GB2312" w:eastAsia="仿宋_GB2312" w:cs="仿宋_GB2312"/>
                <w:w w:val="50"/>
                <w:kern w:val="0"/>
                <w:sz w:val="28"/>
                <w:szCs w:val="28"/>
              </w:rPr>
            </w:pPr>
          </w:p>
        </w:tc>
        <w:tc>
          <w:tcPr>
            <w:tcW w:w="1418" w:type="dxa"/>
          </w:tcPr>
          <w:p>
            <w:pPr>
              <w:spacing w:line="600" w:lineRule="exact"/>
              <w:jc w:val="left"/>
              <w:rPr>
                <w:rFonts w:ascii="仿宋_GB2312" w:hAnsi="仿宋_GB2312" w:eastAsia="仿宋_GB2312" w:cs="仿宋_GB2312"/>
                <w:w w:val="50"/>
                <w:kern w:val="0"/>
                <w:sz w:val="28"/>
                <w:szCs w:val="28"/>
              </w:rPr>
            </w:pPr>
          </w:p>
        </w:tc>
        <w:tc>
          <w:tcPr>
            <w:tcW w:w="1341" w:type="dxa"/>
          </w:tcPr>
          <w:p>
            <w:pPr>
              <w:spacing w:line="400" w:lineRule="exact"/>
              <w:jc w:val="center"/>
              <w:rPr>
                <w:rFonts w:ascii="仿宋_GB2312" w:hAnsi="仿宋_GB2312" w:eastAsia="仿宋_GB2312" w:cs="仿宋_GB2312"/>
                <w:kern w:val="28"/>
                <w:sz w:val="28"/>
                <w:szCs w:val="28"/>
              </w:rPr>
            </w:pPr>
          </w:p>
        </w:tc>
        <w:tc>
          <w:tcPr>
            <w:tcW w:w="2160" w:type="dxa"/>
          </w:tcPr>
          <w:p>
            <w:pPr>
              <w:spacing w:line="600" w:lineRule="exact"/>
              <w:jc w:val="left"/>
              <w:rPr>
                <w:rFonts w:ascii="仿宋_GB2312" w:hAnsi="仿宋_GB2312" w:eastAsia="仿宋_GB2312" w:cs="仿宋_GB2312"/>
                <w:w w:val="50"/>
                <w:kern w:val="0"/>
                <w:sz w:val="28"/>
                <w:szCs w:val="28"/>
              </w:rPr>
            </w:pPr>
          </w:p>
        </w:tc>
        <w:tc>
          <w:tcPr>
            <w:tcW w:w="1455" w:type="dxa"/>
          </w:tcPr>
          <w:p>
            <w:pPr>
              <w:spacing w:line="400" w:lineRule="exact"/>
              <w:jc w:val="center"/>
              <w:rPr>
                <w:rFonts w:ascii="仿宋_GB2312" w:hAnsi="仿宋_GB2312" w:eastAsia="仿宋_GB2312" w:cs="仿宋_GB2312"/>
                <w:kern w:val="28"/>
                <w:sz w:val="28"/>
                <w:szCs w:val="28"/>
              </w:rPr>
            </w:pPr>
          </w:p>
        </w:tc>
        <w:tc>
          <w:tcPr>
            <w:tcW w:w="1989" w:type="dxa"/>
          </w:tcPr>
          <w:p>
            <w:pPr>
              <w:spacing w:line="400" w:lineRule="exact"/>
              <w:jc w:val="center"/>
              <w:rPr>
                <w:rFonts w:ascii="仿宋_GB2312" w:hAnsi="仿宋_GB2312" w:eastAsia="仿宋_GB2312" w:cs="仿宋_GB2312"/>
                <w:kern w:val="28"/>
                <w:sz w:val="28"/>
                <w:szCs w:val="28"/>
              </w:rPr>
            </w:pPr>
          </w:p>
        </w:tc>
        <w:tc>
          <w:tcPr>
            <w:tcW w:w="1985" w:type="dxa"/>
          </w:tcPr>
          <w:p>
            <w:pPr>
              <w:spacing w:line="400" w:lineRule="exact"/>
              <w:jc w:val="center"/>
              <w:rPr>
                <w:rFonts w:ascii="仿宋_GB2312" w:hAnsi="仿宋_GB2312" w:eastAsia="仿宋_GB2312" w:cs="仿宋_GB2312"/>
                <w:kern w:val="28"/>
                <w:sz w:val="28"/>
                <w:szCs w:val="28"/>
              </w:rPr>
            </w:pPr>
          </w:p>
        </w:tc>
        <w:tc>
          <w:tcPr>
            <w:tcW w:w="1276" w:type="dxa"/>
          </w:tcPr>
          <w:p>
            <w:pPr>
              <w:spacing w:line="400" w:lineRule="exact"/>
              <w:jc w:val="center"/>
              <w:rPr>
                <w:rFonts w:ascii="仿宋_GB2312" w:hAnsi="仿宋_GB2312" w:eastAsia="仿宋_GB2312" w:cs="仿宋_GB2312"/>
                <w:kern w:val="28"/>
                <w:sz w:val="28"/>
                <w:szCs w:val="28"/>
              </w:rPr>
            </w:pPr>
          </w:p>
        </w:tc>
        <w:tc>
          <w:tcPr>
            <w:tcW w:w="992" w:type="dxa"/>
          </w:tcPr>
          <w:p>
            <w:pPr>
              <w:spacing w:line="600" w:lineRule="exact"/>
              <w:jc w:val="left"/>
              <w:rPr>
                <w:rFonts w:ascii="仿宋_GB2312" w:hAnsi="仿宋_GB2312" w:eastAsia="仿宋_GB2312" w:cs="仿宋_GB2312"/>
                <w:w w:val="50"/>
                <w:kern w:val="0"/>
                <w:sz w:val="28"/>
                <w:szCs w:val="28"/>
              </w:rPr>
            </w:pPr>
          </w:p>
        </w:tc>
      </w:tr>
    </w:tbl>
    <w:p>
      <w:pPr>
        <w:rPr>
          <w:rFonts w:ascii="仿宋_GB2312" w:hAnsi="仿宋_GB2312" w:eastAsia="仿宋_GB2312" w:cs="仿宋_GB2312"/>
          <w:sz w:val="24"/>
          <w:szCs w:val="24"/>
        </w:rPr>
      </w:pPr>
      <w:r>
        <w:rPr>
          <w:rFonts w:hint="eastAsia" w:ascii="仿宋_GB2312" w:hAnsi="仿宋_GB2312" w:eastAsia="仿宋_GB2312" w:cs="仿宋_GB2312"/>
          <w:sz w:val="24"/>
          <w:szCs w:val="24"/>
        </w:rPr>
        <w:t>1.培训时间要具体，如2021年3月10日下午56节</w:t>
      </w:r>
    </w:p>
    <w:p>
      <w:pPr>
        <w:rPr>
          <w:rFonts w:ascii="仿宋_GB2312" w:hAnsi="仿宋_GB2312" w:eastAsia="仿宋_GB2312" w:cs="仿宋_GB2312"/>
          <w:sz w:val="24"/>
          <w:szCs w:val="24"/>
        </w:rPr>
      </w:pPr>
      <w:r>
        <w:rPr>
          <w:rFonts w:hint="eastAsia" w:ascii="仿宋_GB2312" w:hAnsi="仿宋_GB2312" w:eastAsia="仿宋_GB2312" w:cs="仿宋_GB2312"/>
          <w:sz w:val="24"/>
          <w:szCs w:val="24"/>
        </w:rPr>
        <w:t>2.申报类别可填写“院级精品课程”、“校级共享课程”</w:t>
      </w:r>
    </w:p>
    <w:p>
      <w:pPr>
        <w:rPr>
          <w:rFonts w:ascii="仿宋_GB2312" w:hAnsi="仿宋_GB2312" w:eastAsia="仿宋_GB2312" w:cs="仿宋_GB2312"/>
          <w:sz w:val="24"/>
          <w:szCs w:val="24"/>
        </w:rPr>
      </w:pPr>
      <w:r>
        <w:rPr>
          <w:rFonts w:hint="eastAsia" w:ascii="仿宋_GB2312" w:hAnsi="仿宋_GB2312" w:eastAsia="仿宋_GB2312" w:cs="仿宋_GB2312"/>
          <w:sz w:val="24"/>
          <w:szCs w:val="24"/>
        </w:rPr>
        <w:t>3.课程类别可填写“理论学习”、“社会实践</w:t>
      </w:r>
      <w:r>
        <w:rPr>
          <w:rFonts w:ascii="仿宋_GB2312" w:hAnsi="仿宋_GB2312" w:eastAsia="仿宋_GB2312" w:cs="仿宋_GB2312"/>
          <w:sz w:val="24"/>
          <w:szCs w:val="24"/>
        </w:rPr>
        <w:t>”</w:t>
      </w:r>
      <w:r>
        <w:rPr>
          <w:rFonts w:hint="eastAsia" w:ascii="仿宋_GB2312" w:hAnsi="仿宋_GB2312" w:eastAsia="仿宋_GB2312" w:cs="仿宋_GB2312"/>
          <w:sz w:val="24"/>
          <w:szCs w:val="24"/>
        </w:rPr>
        <w:t>、“社会观察”、“红色教育”、“专项培训”、“交流研讨；</w:t>
      </w:r>
    </w:p>
    <w:p>
      <w:pPr>
        <w:rPr>
          <w:rFonts w:ascii="仿宋_GB2312" w:hAnsi="仿宋_GB2312" w:eastAsia="仿宋_GB2312" w:cs="仿宋_GB2312"/>
          <w:sz w:val="24"/>
          <w:szCs w:val="24"/>
        </w:rPr>
      </w:pPr>
      <w:r>
        <w:rPr>
          <w:rFonts w:hint="eastAsia" w:ascii="仿宋_GB2312" w:hAnsi="仿宋_GB2312" w:eastAsia="仿宋_GB2312" w:cs="仿宋_GB2312"/>
          <w:sz w:val="24"/>
          <w:szCs w:val="24"/>
        </w:rPr>
        <w:t>4.授课人可以是老师、学生或校友；</w:t>
      </w:r>
    </w:p>
    <w:p>
      <w:pPr>
        <w:rPr>
          <w:rFonts w:ascii="仿宋_GB2312" w:hAnsi="仿宋_GB2312" w:eastAsia="仿宋_GB2312" w:cs="仿宋_GB2312"/>
          <w:sz w:val="24"/>
          <w:szCs w:val="24"/>
        </w:rPr>
      </w:pPr>
      <w:r>
        <w:rPr>
          <w:rFonts w:hint="eastAsia" w:ascii="仿宋_GB2312" w:hAnsi="仿宋_GB2312" w:eastAsia="仿宋_GB2312" w:cs="仿宋_GB2312"/>
          <w:sz w:val="24"/>
          <w:szCs w:val="24"/>
        </w:rPr>
        <w:t>5.学时数以每小时45分钟为1学时计算。</w:t>
      </w:r>
    </w:p>
    <w:p>
      <w:pPr>
        <w:rPr>
          <w:rFonts w:ascii="仿宋_GB2312" w:hAnsi="仿宋_GB2312" w:eastAsia="仿宋_GB2312" w:cs="仿宋_GB2312"/>
          <w:sz w:val="24"/>
          <w:szCs w:val="24"/>
        </w:rPr>
      </w:pPr>
      <w:r>
        <w:rPr>
          <w:rFonts w:hint="eastAsia" w:ascii="仿宋_GB2312" w:hAnsi="仿宋_GB2312" w:eastAsia="仿宋_GB2312" w:cs="仿宋_GB2312"/>
          <w:sz w:val="24"/>
          <w:szCs w:val="24"/>
        </w:rPr>
        <w:t>6</w:t>
      </w:r>
      <w:r>
        <w:rPr>
          <w:rFonts w:ascii="仿宋_GB2312" w:hAnsi="仿宋_GB2312" w:eastAsia="仿宋_GB2312" w:cs="仿宋_GB2312"/>
          <w:sz w:val="24"/>
          <w:szCs w:val="24"/>
        </w:rPr>
        <w:t>.</w:t>
      </w:r>
      <w:r>
        <w:rPr>
          <w:rFonts w:hint="eastAsia" w:ascii="仿宋_GB2312" w:hAnsi="仿宋_GB2312" w:eastAsia="仿宋_GB2312" w:cs="仿宋_GB2312"/>
          <w:sz w:val="24"/>
          <w:szCs w:val="24"/>
        </w:rPr>
        <w:t>若为2</w:t>
      </w:r>
      <w:r>
        <w:rPr>
          <w:rFonts w:ascii="仿宋_GB2312" w:hAnsi="仿宋_GB2312" w:eastAsia="仿宋_GB2312" w:cs="仿宋_GB2312"/>
          <w:sz w:val="24"/>
          <w:szCs w:val="24"/>
        </w:rPr>
        <w:t>01</w:t>
      </w:r>
      <w:r>
        <w:rPr>
          <w:rFonts w:hint="eastAsia" w:ascii="仿宋_GB2312" w:hAnsi="仿宋_GB2312" w:eastAsia="仿宋_GB2312" w:cs="仿宋_GB2312"/>
          <w:sz w:val="24"/>
          <w:szCs w:val="24"/>
        </w:rPr>
        <w:t>9年青马“两库”高评高选课程需在备注处标明。</w:t>
      </w:r>
    </w:p>
    <w:p>
      <w:pPr>
        <w:rPr>
          <w:rFonts w:ascii="仿宋_GB2312" w:hAnsi="仿宋_GB2312" w:eastAsia="仿宋_GB2312" w:cs="仿宋_GB2312"/>
          <w:sz w:val="24"/>
          <w:szCs w:val="24"/>
        </w:rPr>
      </w:pPr>
    </w:p>
    <w:p>
      <w:pPr>
        <w:rPr>
          <w:rFonts w:ascii="仿宋_GB2312" w:hAnsi="仿宋_GB2312" w:eastAsia="仿宋_GB2312" w:cs="仿宋_GB2312"/>
          <w:sz w:val="24"/>
          <w:szCs w:val="24"/>
        </w:rPr>
      </w:pPr>
    </w:p>
    <w:p>
      <w:pPr>
        <w:rPr>
          <w:rFonts w:eastAsia="黑体"/>
          <w:sz w:val="32"/>
          <w:szCs w:val="32"/>
        </w:rPr>
      </w:pPr>
    </w:p>
    <w:p>
      <w:pPr>
        <w:rPr>
          <w:rFonts w:hint="eastAsia" w:ascii="黑体" w:hAnsi="黑体" w:eastAsia="黑体" w:cs="黑体"/>
          <w:color w:val="auto"/>
          <w:sz w:val="32"/>
          <w:szCs w:val="32"/>
        </w:rPr>
      </w:pPr>
      <w:r>
        <w:rPr>
          <w:rFonts w:hint="eastAsia" w:ascii="黑体" w:hAnsi="黑体" w:eastAsia="黑体" w:cs="黑体"/>
          <w:color w:val="auto"/>
          <w:sz w:val="32"/>
          <w:szCs w:val="32"/>
        </w:rPr>
        <w:t>附件5</w:t>
      </w:r>
    </w:p>
    <w:tbl>
      <w:tblPr>
        <w:tblStyle w:val="5"/>
        <w:tblW w:w="128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161"/>
        <w:gridCol w:w="1984"/>
        <w:gridCol w:w="1134"/>
        <w:gridCol w:w="3822"/>
        <w:gridCol w:w="141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2895" w:type="dxa"/>
            <w:gridSpan w:val="7"/>
            <w:vAlign w:val="center"/>
          </w:tcPr>
          <w:p>
            <w:pPr>
              <w:jc w:val="center"/>
              <w:rPr>
                <w:rFonts w:asciiTheme="minorHAnsi" w:hAnsiTheme="minorHAnsi" w:eastAsiaTheme="minorEastAsia" w:cstheme="minorBidi"/>
                <w:color w:val="000000"/>
                <w:szCs w:val="22"/>
              </w:rPr>
            </w:pPr>
            <w:r>
              <w:rPr>
                <w:rFonts w:hint="eastAsia"/>
                <w:b/>
                <w:bCs/>
                <w:color w:val="000000"/>
                <w:sz w:val="40"/>
                <w:szCs w:val="40"/>
              </w:rPr>
              <w:t>2019年青马“两库”</w:t>
            </w:r>
            <w:r>
              <w:rPr>
                <w:rFonts w:hint="eastAsia"/>
              </w:rPr>
              <w:t xml:space="preserve"> </w:t>
            </w:r>
            <w:r>
              <w:rPr>
                <w:rFonts w:hint="eastAsia"/>
                <w:b/>
                <w:bCs/>
                <w:color w:val="000000"/>
                <w:sz w:val="40"/>
                <w:szCs w:val="40"/>
              </w:rPr>
              <w:t>高评高选课程(校享)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675" w:type="dxa"/>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序号</w:t>
            </w:r>
          </w:p>
        </w:tc>
        <w:tc>
          <w:tcPr>
            <w:tcW w:w="2161" w:type="dxa"/>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申报类别</w:t>
            </w:r>
          </w:p>
        </w:tc>
        <w:tc>
          <w:tcPr>
            <w:tcW w:w="1984" w:type="dxa"/>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所在单位</w:t>
            </w:r>
          </w:p>
        </w:tc>
        <w:tc>
          <w:tcPr>
            <w:tcW w:w="1134" w:type="dxa"/>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课程类别</w:t>
            </w:r>
          </w:p>
        </w:tc>
        <w:tc>
          <w:tcPr>
            <w:tcW w:w="3822" w:type="dxa"/>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课程名称</w:t>
            </w:r>
          </w:p>
        </w:tc>
        <w:tc>
          <w:tcPr>
            <w:tcW w:w="1418" w:type="dxa"/>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授课人</w:t>
            </w:r>
          </w:p>
        </w:tc>
        <w:tc>
          <w:tcPr>
            <w:tcW w:w="1701" w:type="dxa"/>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实际开展节数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75" w:type="dxa"/>
            <w:shd w:val="clear" w:color="auto" w:fill="FFFFFF" w:themeFill="background1"/>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1</w:t>
            </w:r>
          </w:p>
        </w:tc>
        <w:tc>
          <w:tcPr>
            <w:tcW w:w="2161" w:type="dxa"/>
            <w:shd w:val="clear" w:color="auto" w:fill="FFFFFF" w:themeFill="background1"/>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校级共享课程</w:t>
            </w:r>
          </w:p>
        </w:tc>
        <w:tc>
          <w:tcPr>
            <w:tcW w:w="1984" w:type="dxa"/>
            <w:shd w:val="clear" w:color="auto" w:fill="FFFFFF" w:themeFill="background1"/>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商学院</w:t>
            </w:r>
          </w:p>
        </w:tc>
        <w:tc>
          <w:tcPr>
            <w:tcW w:w="1134" w:type="dxa"/>
            <w:shd w:val="clear" w:color="auto" w:fill="FFFFFF" w:themeFill="background1"/>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专项培训</w:t>
            </w:r>
          </w:p>
        </w:tc>
        <w:tc>
          <w:tcPr>
            <w:tcW w:w="3822" w:type="dxa"/>
            <w:shd w:val="clear" w:color="auto" w:fill="FFFFFF" w:themeFill="background1"/>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如何提高应聘竞争力</w:t>
            </w:r>
          </w:p>
        </w:tc>
        <w:tc>
          <w:tcPr>
            <w:tcW w:w="1418" w:type="dxa"/>
            <w:shd w:val="clear" w:color="auto" w:fill="FFFFFF" w:themeFill="background1"/>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郭世杰</w:t>
            </w:r>
          </w:p>
        </w:tc>
        <w:tc>
          <w:tcPr>
            <w:tcW w:w="1701" w:type="dxa"/>
            <w:shd w:val="clear" w:color="auto" w:fill="FFFFFF" w:themeFill="background1"/>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675" w:type="dxa"/>
            <w:shd w:val="clear" w:color="auto" w:fill="FFFFFF" w:themeFill="background1"/>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2</w:t>
            </w:r>
          </w:p>
        </w:tc>
        <w:tc>
          <w:tcPr>
            <w:tcW w:w="2161" w:type="dxa"/>
            <w:shd w:val="clear" w:color="auto" w:fill="FFFFFF" w:themeFill="background1"/>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校级共享课程</w:t>
            </w:r>
          </w:p>
        </w:tc>
        <w:tc>
          <w:tcPr>
            <w:tcW w:w="1984" w:type="dxa"/>
            <w:shd w:val="clear" w:color="auto" w:fill="FFFFFF" w:themeFill="background1"/>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商学院</w:t>
            </w:r>
          </w:p>
        </w:tc>
        <w:tc>
          <w:tcPr>
            <w:tcW w:w="1134" w:type="dxa"/>
            <w:shd w:val="clear" w:color="auto" w:fill="FFFFFF" w:themeFill="background1"/>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专项培训</w:t>
            </w:r>
          </w:p>
        </w:tc>
        <w:tc>
          <w:tcPr>
            <w:tcW w:w="3822" w:type="dxa"/>
            <w:shd w:val="clear" w:color="auto" w:fill="FFFFFF" w:themeFill="background1"/>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PPT应用培训</w:t>
            </w:r>
          </w:p>
        </w:tc>
        <w:tc>
          <w:tcPr>
            <w:tcW w:w="1418" w:type="dxa"/>
            <w:shd w:val="clear" w:color="auto" w:fill="FFFFFF" w:themeFill="background1"/>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黄河</w:t>
            </w:r>
          </w:p>
        </w:tc>
        <w:tc>
          <w:tcPr>
            <w:tcW w:w="1701" w:type="dxa"/>
            <w:shd w:val="clear" w:color="auto" w:fill="FFFFFF" w:themeFill="background1"/>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75" w:type="dxa"/>
            <w:shd w:val="clear" w:color="auto" w:fill="FFFFFF" w:themeFill="background1"/>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3</w:t>
            </w:r>
          </w:p>
        </w:tc>
        <w:tc>
          <w:tcPr>
            <w:tcW w:w="2161" w:type="dxa"/>
            <w:shd w:val="clear" w:color="auto" w:fill="FFFFFF" w:themeFill="background1"/>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校级共享课程</w:t>
            </w:r>
          </w:p>
        </w:tc>
        <w:tc>
          <w:tcPr>
            <w:tcW w:w="1984" w:type="dxa"/>
            <w:shd w:val="clear" w:color="auto" w:fill="FFFFFF" w:themeFill="background1"/>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创意设计学院</w:t>
            </w:r>
          </w:p>
        </w:tc>
        <w:tc>
          <w:tcPr>
            <w:tcW w:w="1134" w:type="dxa"/>
            <w:shd w:val="clear" w:color="auto" w:fill="FFFFFF" w:themeFill="background1"/>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理论学习</w:t>
            </w:r>
          </w:p>
        </w:tc>
        <w:tc>
          <w:tcPr>
            <w:tcW w:w="3822" w:type="dxa"/>
            <w:shd w:val="clear" w:color="auto" w:fill="FFFFFF" w:themeFill="background1"/>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摄影视频剪辑讲座</w:t>
            </w:r>
          </w:p>
        </w:tc>
        <w:tc>
          <w:tcPr>
            <w:tcW w:w="1418" w:type="dxa"/>
            <w:shd w:val="clear" w:color="auto" w:fill="FFFFFF" w:themeFill="background1"/>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卢娟</w:t>
            </w:r>
          </w:p>
        </w:tc>
        <w:tc>
          <w:tcPr>
            <w:tcW w:w="1701" w:type="dxa"/>
            <w:shd w:val="clear" w:color="auto" w:fill="FFFFFF" w:themeFill="background1"/>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675" w:type="dxa"/>
            <w:shd w:val="clear" w:color="auto" w:fill="FFFFFF" w:themeFill="background1"/>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4</w:t>
            </w:r>
          </w:p>
        </w:tc>
        <w:tc>
          <w:tcPr>
            <w:tcW w:w="2161" w:type="dxa"/>
            <w:shd w:val="clear" w:color="auto" w:fill="FFFFFF" w:themeFill="background1"/>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校级共享课程</w:t>
            </w:r>
          </w:p>
        </w:tc>
        <w:tc>
          <w:tcPr>
            <w:tcW w:w="1984" w:type="dxa"/>
            <w:shd w:val="clear" w:color="auto" w:fill="FFFFFF" w:themeFill="background1"/>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文学与传媒学院</w:t>
            </w:r>
          </w:p>
        </w:tc>
        <w:tc>
          <w:tcPr>
            <w:tcW w:w="1134" w:type="dxa"/>
            <w:shd w:val="clear" w:color="auto" w:fill="FFFFFF" w:themeFill="background1"/>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理论学习</w:t>
            </w:r>
          </w:p>
        </w:tc>
        <w:tc>
          <w:tcPr>
            <w:tcW w:w="3822" w:type="dxa"/>
            <w:shd w:val="clear" w:color="auto" w:fill="FFFFFF" w:themeFill="background1"/>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《中庸》与我们的人生之道</w:t>
            </w:r>
          </w:p>
        </w:tc>
        <w:tc>
          <w:tcPr>
            <w:tcW w:w="1418" w:type="dxa"/>
            <w:shd w:val="clear" w:color="auto" w:fill="FFFFFF" w:themeFill="background1"/>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苗琳</w:t>
            </w:r>
          </w:p>
        </w:tc>
        <w:tc>
          <w:tcPr>
            <w:tcW w:w="1701" w:type="dxa"/>
            <w:shd w:val="clear" w:color="auto" w:fill="FFFFFF" w:themeFill="background1"/>
            <w:vAlign w:val="center"/>
          </w:tcPr>
          <w:p>
            <w:pPr>
              <w:jc w:val="center"/>
              <w:rPr>
                <w:rFonts w:asciiTheme="minorHAnsi" w:hAnsiTheme="minorHAnsi" w:eastAsiaTheme="minorEastAsia" w:cstheme="minorBidi"/>
                <w:color w:val="000000"/>
                <w:szCs w:val="22"/>
              </w:rPr>
            </w:pPr>
            <w:r>
              <w:rPr>
                <w:rFonts w:hint="eastAsia" w:asciiTheme="minorHAnsi" w:hAnsiTheme="minorHAnsi" w:eastAsiaTheme="minorEastAsia" w:cstheme="minorBidi"/>
                <w:color w:val="000000"/>
                <w:szCs w:val="22"/>
              </w:rPr>
              <w:t>2</w:t>
            </w:r>
          </w:p>
        </w:tc>
      </w:tr>
    </w:tbl>
    <w:p>
      <w:pPr>
        <w:rPr>
          <w:rFonts w:ascii="仿宋_GB2312" w:hAnsi="仿宋_GB2312" w:eastAsia="仿宋_GB2312" w:cs="仿宋_GB2312"/>
          <w:sz w:val="24"/>
          <w:szCs w:val="24"/>
        </w:rPr>
        <w:sectPr>
          <w:pgSz w:w="16838" w:h="11906" w:orient="landscape"/>
          <w:pgMar w:top="1587" w:right="2098" w:bottom="1474" w:left="1984" w:header="851" w:footer="992" w:gutter="0"/>
          <w:pgBorders>
            <w:top w:val="none" w:sz="0" w:space="0"/>
            <w:left w:val="none" w:sz="0" w:space="0"/>
            <w:bottom w:val="none" w:sz="0" w:space="0"/>
            <w:right w:val="none" w:sz="0" w:space="0"/>
          </w:pgBorders>
          <w:pgNumType w:fmt="numberInDash"/>
          <w:cols w:space="720" w:num="1"/>
          <w:docGrid w:type="lines" w:linePitch="327" w:charSpace="0"/>
        </w:sectPr>
      </w:pPr>
      <w:r>
        <w:rPr>
          <w:rFonts w:ascii="仿宋_GB2312" w:hAnsi="仿宋_GB2312" w:eastAsia="仿宋_GB2312" w:cs="仿宋_GB2312"/>
          <w:sz w:val="24"/>
          <w:szCs w:val="24"/>
        </w:rPr>
        <w:br w:type="page"/>
      </w:r>
    </w:p>
    <w:tbl>
      <w:tblPr>
        <w:tblStyle w:val="4"/>
        <w:tblpPr w:leftFromText="180" w:rightFromText="180" w:vertAnchor="text" w:horzAnchor="page" w:tblpX="1082" w:tblpY="12053"/>
        <w:tblOverlap w:val="never"/>
        <w:tblW w:w="0" w:type="auto"/>
        <w:tblInd w:w="0"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9943"/>
      </w:tblGrid>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630" w:hRule="atLeast"/>
        </w:trPr>
        <w:tc>
          <w:tcPr>
            <w:tcW w:w="9943" w:type="dxa"/>
            <w:vAlign w:val="center"/>
          </w:tcPr>
          <w:p>
            <w:pPr>
              <w:spacing w:line="600" w:lineRule="exact"/>
              <w:jc w:val="center"/>
              <w:rPr>
                <w:rFonts w:ascii="仿宋_GB2312" w:hAnsi="仿宋_GB2312" w:eastAsia="仿宋_GB2312" w:cs="仿宋_GB2312"/>
                <w:sz w:val="32"/>
                <w:szCs w:val="32"/>
              </w:rPr>
            </w:pPr>
            <w:r>
              <w:rPr>
                <w:rFonts w:hint="eastAsia" w:ascii="仿宋_GB2312" w:hAnsi="仿宋_GB2312" w:eastAsia="仿宋_GB2312" w:cs="仿宋_GB2312"/>
                <w:w w:val="95"/>
                <w:sz w:val="32"/>
                <w:szCs w:val="32"/>
              </w:rPr>
              <w:t>共青团东莞理工学院城市学院委员会办公室</w:t>
            </w:r>
            <w:r>
              <w:rPr>
                <w:rFonts w:ascii="仿宋_GB2312" w:hAnsi="仿宋_GB2312" w:eastAsia="仿宋_GB2312" w:cs="仿宋_GB2312"/>
                <w:w w:val="95"/>
                <w:sz w:val="32"/>
                <w:szCs w:val="32"/>
              </w:rPr>
              <w:t xml:space="preserve">     </w:t>
            </w:r>
            <w:r>
              <w:rPr>
                <w:rFonts w:eastAsia="仿宋_GB2312"/>
                <w:sz w:val="32"/>
                <w:szCs w:val="32"/>
              </w:rPr>
              <w:t>20</w:t>
            </w:r>
            <w:r>
              <w:rPr>
                <w:rFonts w:hint="eastAsia" w:eastAsia="仿宋_GB2312"/>
                <w:sz w:val="32"/>
                <w:szCs w:val="32"/>
              </w:rPr>
              <w:t>20</w:t>
            </w:r>
            <w:r>
              <w:rPr>
                <w:rFonts w:hint="eastAsia" w:ascii="仿宋_GB2312" w:hAnsi="仿宋_GB2312" w:eastAsia="仿宋_GB2312" w:cs="仿宋_GB2312"/>
                <w:sz w:val="32"/>
                <w:szCs w:val="32"/>
              </w:rPr>
              <w:t>年</w:t>
            </w:r>
            <w:r>
              <w:rPr>
                <w:rFonts w:hint="eastAsia" w:eastAsia="仿宋_GB2312"/>
                <w:sz w:val="32"/>
                <w:szCs w:val="32"/>
              </w:rPr>
              <w:t>12</w:t>
            </w:r>
            <w:r>
              <w:rPr>
                <w:rFonts w:hint="eastAsia" w:ascii="仿宋_GB2312" w:hAnsi="仿宋_GB2312" w:eastAsia="仿宋_GB2312" w:cs="仿宋_GB2312"/>
                <w:sz w:val="32"/>
                <w:szCs w:val="32"/>
              </w:rPr>
              <w:t>月</w:t>
            </w:r>
            <w:r>
              <w:rPr>
                <w:rFonts w:hint="eastAsia" w:eastAsia="仿宋_GB2312"/>
                <w:sz w:val="32"/>
                <w:szCs w:val="32"/>
              </w:rPr>
              <w:t>1</w:t>
            </w:r>
            <w:r>
              <w:rPr>
                <w:rFonts w:hint="eastAsia" w:ascii="仿宋_GB2312" w:hAnsi="仿宋_GB2312" w:eastAsia="仿宋_GB2312" w:cs="仿宋_GB2312"/>
                <w:sz w:val="32"/>
                <w:szCs w:val="32"/>
              </w:rPr>
              <w:t>日印发</w:t>
            </w:r>
          </w:p>
        </w:tc>
      </w:tr>
    </w:tbl>
    <w:p>
      <w:pPr>
        <w:tabs>
          <w:tab w:val="left" w:pos="5476"/>
        </w:tabs>
        <w:jc w:val="left"/>
      </w:pPr>
    </w:p>
    <w:p>
      <w:pPr>
        <w:tabs>
          <w:tab w:val="left" w:pos="5476"/>
        </w:tabs>
        <w:jc w:val="left"/>
      </w:pPr>
    </w:p>
    <w:sectPr>
      <w:pgSz w:w="11906" w:h="16838"/>
      <w:pgMar w:top="2098" w:right="1474" w:bottom="1984" w:left="1587" w:header="851" w:footer="992" w:gutter="0"/>
      <w:pgBorders>
        <w:top w:val="none" w:sz="0" w:space="0"/>
        <w:left w:val="none" w:sz="0" w:space="0"/>
        <w:bottom w:val="none" w:sz="0" w:space="0"/>
        <w:right w:val="none" w:sz="0" w:space="0"/>
      </w:pgBorders>
      <w:pgNumType w:fmt="numberInDash"/>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康简标题宋">
    <w:altName w:val="宋体"/>
    <w:panose1 w:val="02010609000101010101"/>
    <w:charset w:val="86"/>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PMingLiU">
    <w:altName w:val="PMingLiU-ExtB"/>
    <w:panose1 w:val="02020500000000000000"/>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32"/>
                              <w:szCs w:val="32"/>
                              <w:lang w:eastAsia="zh-CN"/>
                            </w:rPr>
                            <w:fldChar w:fldCharType="begin"/>
                          </w:r>
                          <w:r>
                            <w:rPr>
                              <w:rFonts w:hint="eastAsia"/>
                              <w:sz w:val="32"/>
                              <w:szCs w:val="32"/>
                              <w:lang w:eastAsia="zh-CN"/>
                            </w:rPr>
                            <w:instrText xml:space="preserve"> PAGE  \* MERGEFORMAT </w:instrText>
                          </w:r>
                          <w:r>
                            <w:rPr>
                              <w:rFonts w:hint="eastAsia"/>
                              <w:sz w:val="32"/>
                              <w:szCs w:val="32"/>
                              <w:lang w:eastAsia="zh-CN"/>
                            </w:rPr>
                            <w:fldChar w:fldCharType="separate"/>
                          </w:r>
                          <w:r>
                            <w:rPr>
                              <w:sz w:val="32"/>
                              <w:szCs w:val="32"/>
                            </w:rPr>
                            <w:t>- 2 -</w:t>
                          </w:r>
                          <w:r>
                            <w:rPr>
                              <w:rFonts w:hint="eastAsia"/>
                              <w:sz w:val="32"/>
                              <w:szCs w:val="3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32"/>
                        <w:szCs w:val="32"/>
                        <w:lang w:eastAsia="zh-CN"/>
                      </w:rPr>
                      <w:fldChar w:fldCharType="begin"/>
                    </w:r>
                    <w:r>
                      <w:rPr>
                        <w:rFonts w:hint="eastAsia"/>
                        <w:sz w:val="32"/>
                        <w:szCs w:val="32"/>
                        <w:lang w:eastAsia="zh-CN"/>
                      </w:rPr>
                      <w:instrText xml:space="preserve"> PAGE  \* MERGEFORMAT </w:instrText>
                    </w:r>
                    <w:r>
                      <w:rPr>
                        <w:rFonts w:hint="eastAsia"/>
                        <w:sz w:val="32"/>
                        <w:szCs w:val="32"/>
                        <w:lang w:eastAsia="zh-CN"/>
                      </w:rPr>
                      <w:fldChar w:fldCharType="separate"/>
                    </w:r>
                    <w:r>
                      <w:rPr>
                        <w:sz w:val="32"/>
                        <w:szCs w:val="32"/>
                      </w:rPr>
                      <w:t>- 2 -</w:t>
                    </w:r>
                    <w:r>
                      <w:rPr>
                        <w:rFonts w:hint="eastAsia"/>
                        <w:sz w:val="32"/>
                        <w:szCs w:val="32"/>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45451B"/>
    <w:multiLevelType w:val="singleLevel"/>
    <w:tmpl w:val="DD45451B"/>
    <w:lvl w:ilvl="0" w:tentative="0">
      <w:start w:val="1"/>
      <w:numFmt w:val="decimal"/>
      <w:suff w:val="space"/>
      <w:lvlText w:val="%1."/>
      <w:lvlJc w:val="left"/>
    </w:lvl>
  </w:abstractNum>
  <w:abstractNum w:abstractNumId="1">
    <w:nsid w:val="ECE24ACD"/>
    <w:multiLevelType w:val="singleLevel"/>
    <w:tmpl w:val="ECE24ACD"/>
    <w:lvl w:ilvl="0" w:tentative="0">
      <w:start w:val="1"/>
      <w:numFmt w:val="chineseCounting"/>
      <w:suff w:val="nothing"/>
      <w:lvlText w:val="%1、"/>
      <w:lvlJc w:val="left"/>
      <w:rPr>
        <w:rFonts w:hint="eastAsia"/>
      </w:rPr>
    </w:lvl>
  </w:abstractNum>
  <w:abstractNum w:abstractNumId="2">
    <w:nsid w:val="2F284FBA"/>
    <w:multiLevelType w:val="singleLevel"/>
    <w:tmpl w:val="2F284FBA"/>
    <w:lvl w:ilvl="0" w:tentative="0">
      <w:start w:val="1"/>
      <w:numFmt w:val="decimal"/>
      <w:suff w:val="space"/>
      <w:lvlText w:val="%1."/>
      <w:lvlJc w:val="left"/>
    </w:lvl>
  </w:abstractNum>
  <w:abstractNum w:abstractNumId="3">
    <w:nsid w:val="4AA520AA"/>
    <w:multiLevelType w:val="singleLevel"/>
    <w:tmpl w:val="4AA520AA"/>
    <w:lvl w:ilvl="0" w:tentative="0">
      <w:start w:val="1"/>
      <w:numFmt w:val="chineseCounting"/>
      <w:suff w:val="nothing"/>
      <w:lvlText w:val="%1、"/>
      <w:lvlJc w:val="left"/>
      <w:pPr>
        <w:ind w:left="0" w:firstLine="420"/>
      </w:pPr>
      <w:rPr>
        <w:rFonts w:hint="eastAsia"/>
      </w:rPr>
    </w:lvl>
  </w:abstractNum>
  <w:abstractNum w:abstractNumId="4">
    <w:nsid w:val="5786C0B3"/>
    <w:multiLevelType w:val="singleLevel"/>
    <w:tmpl w:val="5786C0B3"/>
    <w:lvl w:ilvl="0" w:tentative="0">
      <w:start w:val="1"/>
      <w:numFmt w:val="decimal"/>
      <w:suff w:val="space"/>
      <w:lvlText w:val="%1."/>
      <w:lvlJc w:val="left"/>
    </w:lvl>
  </w:abstractNum>
  <w:abstractNum w:abstractNumId="5">
    <w:nsid w:val="6116C8B0"/>
    <w:multiLevelType w:val="singleLevel"/>
    <w:tmpl w:val="6116C8B0"/>
    <w:lvl w:ilvl="0" w:tentative="0">
      <w:start w:val="1"/>
      <w:numFmt w:val="decimal"/>
      <w:suff w:val="space"/>
      <w:lvlText w:val="%1."/>
      <w:lvlJc w:val="left"/>
    </w:lvl>
  </w:abstractNum>
  <w:abstractNum w:abstractNumId="6">
    <w:nsid w:val="71D1DB00"/>
    <w:multiLevelType w:val="singleLevel"/>
    <w:tmpl w:val="71D1DB00"/>
    <w:lvl w:ilvl="0" w:tentative="0">
      <w:start w:val="1"/>
      <w:numFmt w:val="chineseCounting"/>
      <w:suff w:val="nothing"/>
      <w:lvlText w:val="%1、"/>
      <w:lvlJc w:val="left"/>
      <w:rPr>
        <w:rFonts w:hint="eastAsia"/>
      </w:rPr>
    </w:lvl>
  </w:abstractNum>
  <w:num w:numId="1">
    <w:abstractNumId w:val="1"/>
  </w:num>
  <w:num w:numId="2">
    <w:abstractNumId w:val="4"/>
  </w:num>
  <w:num w:numId="3">
    <w:abstractNumId w:val="6"/>
  </w:num>
  <w:num w:numId="4">
    <w:abstractNumId w:val="2"/>
  </w:num>
  <w:num w:numId="5">
    <w:abstractNumId w:val="0"/>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bordersDoNotSurroundHeader w:val="1"/>
  <w:bordersDoNotSurroundFooter w:val="1"/>
  <w:documentProtection w:enforcement="0"/>
  <w:defaultTabStop w:val="420"/>
  <w:drawingGridHorizontalSpacing w:val="105"/>
  <w:drawingGridVerticalSpacing w:val="164"/>
  <w:displayVerticalDrawingGridEvery w:val="2"/>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27F"/>
    <w:rsid w:val="000039CD"/>
    <w:rsid w:val="000111E9"/>
    <w:rsid w:val="000267E7"/>
    <w:rsid w:val="00041577"/>
    <w:rsid w:val="00043193"/>
    <w:rsid w:val="00044459"/>
    <w:rsid w:val="00050CB4"/>
    <w:rsid w:val="00057672"/>
    <w:rsid w:val="00060594"/>
    <w:rsid w:val="00073E58"/>
    <w:rsid w:val="0009376A"/>
    <w:rsid w:val="00093EDD"/>
    <w:rsid w:val="000A16E1"/>
    <w:rsid w:val="000A3EFE"/>
    <w:rsid w:val="000A40BE"/>
    <w:rsid w:val="000C7CCA"/>
    <w:rsid w:val="000D0243"/>
    <w:rsid w:val="000E545B"/>
    <w:rsid w:val="000E6E3A"/>
    <w:rsid w:val="000F4C02"/>
    <w:rsid w:val="0010698B"/>
    <w:rsid w:val="00110C8C"/>
    <w:rsid w:val="00111B06"/>
    <w:rsid w:val="00115674"/>
    <w:rsid w:val="00115819"/>
    <w:rsid w:val="00115944"/>
    <w:rsid w:val="00120463"/>
    <w:rsid w:val="00120B50"/>
    <w:rsid w:val="001233B0"/>
    <w:rsid w:val="001266A0"/>
    <w:rsid w:val="001408DD"/>
    <w:rsid w:val="00144059"/>
    <w:rsid w:val="00146749"/>
    <w:rsid w:val="00154929"/>
    <w:rsid w:val="00154F1F"/>
    <w:rsid w:val="001621F8"/>
    <w:rsid w:val="00171471"/>
    <w:rsid w:val="00172A27"/>
    <w:rsid w:val="00173F66"/>
    <w:rsid w:val="00176367"/>
    <w:rsid w:val="001779C9"/>
    <w:rsid w:val="0018082B"/>
    <w:rsid w:val="00181481"/>
    <w:rsid w:val="001815E2"/>
    <w:rsid w:val="00185AA9"/>
    <w:rsid w:val="0018784C"/>
    <w:rsid w:val="001931E8"/>
    <w:rsid w:val="00195936"/>
    <w:rsid w:val="00196F3B"/>
    <w:rsid w:val="001A2CF3"/>
    <w:rsid w:val="001A689E"/>
    <w:rsid w:val="001B0947"/>
    <w:rsid w:val="001B142C"/>
    <w:rsid w:val="001B2D96"/>
    <w:rsid w:val="001C2086"/>
    <w:rsid w:val="001C39DB"/>
    <w:rsid w:val="001C3FCA"/>
    <w:rsid w:val="001C56E7"/>
    <w:rsid w:val="001D7E36"/>
    <w:rsid w:val="001E1FA9"/>
    <w:rsid w:val="001E6C22"/>
    <w:rsid w:val="001E6F9D"/>
    <w:rsid w:val="001E7677"/>
    <w:rsid w:val="001F18C7"/>
    <w:rsid w:val="00200B99"/>
    <w:rsid w:val="00213692"/>
    <w:rsid w:val="00213EF2"/>
    <w:rsid w:val="00215513"/>
    <w:rsid w:val="0021559E"/>
    <w:rsid w:val="00217261"/>
    <w:rsid w:val="00217375"/>
    <w:rsid w:val="002263C9"/>
    <w:rsid w:val="00231CEF"/>
    <w:rsid w:val="002350B6"/>
    <w:rsid w:val="002374C1"/>
    <w:rsid w:val="0025255A"/>
    <w:rsid w:val="002703FD"/>
    <w:rsid w:val="00282B67"/>
    <w:rsid w:val="002873DC"/>
    <w:rsid w:val="0029500E"/>
    <w:rsid w:val="002B0CD0"/>
    <w:rsid w:val="002F1882"/>
    <w:rsid w:val="002F6F25"/>
    <w:rsid w:val="002F7BCF"/>
    <w:rsid w:val="00300CCA"/>
    <w:rsid w:val="00304976"/>
    <w:rsid w:val="0031001F"/>
    <w:rsid w:val="00321AB8"/>
    <w:rsid w:val="00325926"/>
    <w:rsid w:val="00327AC7"/>
    <w:rsid w:val="00331E5E"/>
    <w:rsid w:val="0033411D"/>
    <w:rsid w:val="00335577"/>
    <w:rsid w:val="0034572A"/>
    <w:rsid w:val="00355697"/>
    <w:rsid w:val="00357234"/>
    <w:rsid w:val="00363232"/>
    <w:rsid w:val="00367B47"/>
    <w:rsid w:val="00370AFB"/>
    <w:rsid w:val="003720D0"/>
    <w:rsid w:val="0037416F"/>
    <w:rsid w:val="003774CB"/>
    <w:rsid w:val="003813C2"/>
    <w:rsid w:val="003B42F2"/>
    <w:rsid w:val="003C52D8"/>
    <w:rsid w:val="003C572B"/>
    <w:rsid w:val="003D0C14"/>
    <w:rsid w:val="003E353E"/>
    <w:rsid w:val="003F2DC5"/>
    <w:rsid w:val="003F733A"/>
    <w:rsid w:val="0040400F"/>
    <w:rsid w:val="0041019D"/>
    <w:rsid w:val="00417DDB"/>
    <w:rsid w:val="0042116C"/>
    <w:rsid w:val="00421EFC"/>
    <w:rsid w:val="00440A34"/>
    <w:rsid w:val="00445CB7"/>
    <w:rsid w:val="00476890"/>
    <w:rsid w:val="004806EB"/>
    <w:rsid w:val="004817C4"/>
    <w:rsid w:val="00486A24"/>
    <w:rsid w:val="00494ED2"/>
    <w:rsid w:val="00497C45"/>
    <w:rsid w:val="004A0074"/>
    <w:rsid w:val="004A1913"/>
    <w:rsid w:val="004C303A"/>
    <w:rsid w:val="004D398B"/>
    <w:rsid w:val="004D5191"/>
    <w:rsid w:val="004F259A"/>
    <w:rsid w:val="00506A45"/>
    <w:rsid w:val="005136B7"/>
    <w:rsid w:val="00517C7D"/>
    <w:rsid w:val="00526C77"/>
    <w:rsid w:val="00533C39"/>
    <w:rsid w:val="00540DA3"/>
    <w:rsid w:val="00543974"/>
    <w:rsid w:val="00545C78"/>
    <w:rsid w:val="00546444"/>
    <w:rsid w:val="00556A22"/>
    <w:rsid w:val="00557DCA"/>
    <w:rsid w:val="00567BFB"/>
    <w:rsid w:val="00575508"/>
    <w:rsid w:val="00586067"/>
    <w:rsid w:val="0059101F"/>
    <w:rsid w:val="0059307F"/>
    <w:rsid w:val="005947E2"/>
    <w:rsid w:val="00596682"/>
    <w:rsid w:val="005A1FBD"/>
    <w:rsid w:val="005A20FC"/>
    <w:rsid w:val="005A5EFE"/>
    <w:rsid w:val="005A79C0"/>
    <w:rsid w:val="005C2EA5"/>
    <w:rsid w:val="005C3FE6"/>
    <w:rsid w:val="005D3156"/>
    <w:rsid w:val="005D6674"/>
    <w:rsid w:val="005E471E"/>
    <w:rsid w:val="005E4E32"/>
    <w:rsid w:val="005F4CF0"/>
    <w:rsid w:val="00605FC3"/>
    <w:rsid w:val="00606FC8"/>
    <w:rsid w:val="006165BC"/>
    <w:rsid w:val="00616CD1"/>
    <w:rsid w:val="0062315B"/>
    <w:rsid w:val="006234D9"/>
    <w:rsid w:val="00623772"/>
    <w:rsid w:val="006244D2"/>
    <w:rsid w:val="00630945"/>
    <w:rsid w:val="00637C80"/>
    <w:rsid w:val="00683A27"/>
    <w:rsid w:val="00690890"/>
    <w:rsid w:val="006A1CAB"/>
    <w:rsid w:val="006B6BCA"/>
    <w:rsid w:val="006B72E6"/>
    <w:rsid w:val="006C6AE9"/>
    <w:rsid w:val="006D4779"/>
    <w:rsid w:val="006E19C6"/>
    <w:rsid w:val="007048A8"/>
    <w:rsid w:val="007135CC"/>
    <w:rsid w:val="00723CFE"/>
    <w:rsid w:val="007261D9"/>
    <w:rsid w:val="00732BA5"/>
    <w:rsid w:val="00735B1F"/>
    <w:rsid w:val="00743F29"/>
    <w:rsid w:val="0074485A"/>
    <w:rsid w:val="00746EF5"/>
    <w:rsid w:val="00747CF4"/>
    <w:rsid w:val="00756FA6"/>
    <w:rsid w:val="00757FD8"/>
    <w:rsid w:val="007651B0"/>
    <w:rsid w:val="007742F1"/>
    <w:rsid w:val="00775F69"/>
    <w:rsid w:val="007826E8"/>
    <w:rsid w:val="00794E89"/>
    <w:rsid w:val="00797E7D"/>
    <w:rsid w:val="007A1A4F"/>
    <w:rsid w:val="007A2524"/>
    <w:rsid w:val="007A5E17"/>
    <w:rsid w:val="007A5ED7"/>
    <w:rsid w:val="007B2135"/>
    <w:rsid w:val="007B3CA3"/>
    <w:rsid w:val="007B6026"/>
    <w:rsid w:val="007C5AFA"/>
    <w:rsid w:val="007C65DD"/>
    <w:rsid w:val="007D579B"/>
    <w:rsid w:val="007E064B"/>
    <w:rsid w:val="007E32E9"/>
    <w:rsid w:val="007E5A09"/>
    <w:rsid w:val="007F15A7"/>
    <w:rsid w:val="007F441B"/>
    <w:rsid w:val="00800A61"/>
    <w:rsid w:val="00802735"/>
    <w:rsid w:val="0080516B"/>
    <w:rsid w:val="00807702"/>
    <w:rsid w:val="00823EEF"/>
    <w:rsid w:val="008457B5"/>
    <w:rsid w:val="00846FE3"/>
    <w:rsid w:val="00861C15"/>
    <w:rsid w:val="00863541"/>
    <w:rsid w:val="00867C73"/>
    <w:rsid w:val="0087586E"/>
    <w:rsid w:val="0087729D"/>
    <w:rsid w:val="00886EC5"/>
    <w:rsid w:val="008906E9"/>
    <w:rsid w:val="008962B7"/>
    <w:rsid w:val="00896DEF"/>
    <w:rsid w:val="008A0DFE"/>
    <w:rsid w:val="008B1664"/>
    <w:rsid w:val="008B191E"/>
    <w:rsid w:val="008C3A4C"/>
    <w:rsid w:val="008C60C7"/>
    <w:rsid w:val="008D574E"/>
    <w:rsid w:val="008D72D9"/>
    <w:rsid w:val="008E08BE"/>
    <w:rsid w:val="008E3BDC"/>
    <w:rsid w:val="008F4093"/>
    <w:rsid w:val="008F4655"/>
    <w:rsid w:val="0090080A"/>
    <w:rsid w:val="00901A68"/>
    <w:rsid w:val="0090788E"/>
    <w:rsid w:val="009134D9"/>
    <w:rsid w:val="00917EB9"/>
    <w:rsid w:val="00924086"/>
    <w:rsid w:val="0093152C"/>
    <w:rsid w:val="00932771"/>
    <w:rsid w:val="00935587"/>
    <w:rsid w:val="00943588"/>
    <w:rsid w:val="0095429C"/>
    <w:rsid w:val="009624A5"/>
    <w:rsid w:val="00962FF8"/>
    <w:rsid w:val="00964A11"/>
    <w:rsid w:val="0096757F"/>
    <w:rsid w:val="00973487"/>
    <w:rsid w:val="009740AF"/>
    <w:rsid w:val="009B16D6"/>
    <w:rsid w:val="009B1E2C"/>
    <w:rsid w:val="009B7207"/>
    <w:rsid w:val="009B7943"/>
    <w:rsid w:val="009C1896"/>
    <w:rsid w:val="009C70FF"/>
    <w:rsid w:val="009C720A"/>
    <w:rsid w:val="009E1014"/>
    <w:rsid w:val="009E2F3A"/>
    <w:rsid w:val="009E4A93"/>
    <w:rsid w:val="009E5DBB"/>
    <w:rsid w:val="009E7AEF"/>
    <w:rsid w:val="009F07D8"/>
    <w:rsid w:val="009F5A26"/>
    <w:rsid w:val="009F7E56"/>
    <w:rsid w:val="00A05AE2"/>
    <w:rsid w:val="00A1258D"/>
    <w:rsid w:val="00A125B3"/>
    <w:rsid w:val="00A1479A"/>
    <w:rsid w:val="00A15CFF"/>
    <w:rsid w:val="00A16A7B"/>
    <w:rsid w:val="00A21F33"/>
    <w:rsid w:val="00A22A98"/>
    <w:rsid w:val="00A2552C"/>
    <w:rsid w:val="00A26C00"/>
    <w:rsid w:val="00A4501F"/>
    <w:rsid w:val="00A45F1C"/>
    <w:rsid w:val="00A744C3"/>
    <w:rsid w:val="00A85B74"/>
    <w:rsid w:val="00A85E6E"/>
    <w:rsid w:val="00A95990"/>
    <w:rsid w:val="00A9610B"/>
    <w:rsid w:val="00AA253B"/>
    <w:rsid w:val="00AA3B1F"/>
    <w:rsid w:val="00AA7441"/>
    <w:rsid w:val="00AC5EE2"/>
    <w:rsid w:val="00AC61FA"/>
    <w:rsid w:val="00AD381B"/>
    <w:rsid w:val="00AD665A"/>
    <w:rsid w:val="00AE4118"/>
    <w:rsid w:val="00AF1379"/>
    <w:rsid w:val="00AF2BBF"/>
    <w:rsid w:val="00AF410B"/>
    <w:rsid w:val="00B02150"/>
    <w:rsid w:val="00B02919"/>
    <w:rsid w:val="00B1744F"/>
    <w:rsid w:val="00B20995"/>
    <w:rsid w:val="00B24693"/>
    <w:rsid w:val="00B30375"/>
    <w:rsid w:val="00B342FC"/>
    <w:rsid w:val="00B4241A"/>
    <w:rsid w:val="00B51889"/>
    <w:rsid w:val="00B54DD3"/>
    <w:rsid w:val="00B60CDE"/>
    <w:rsid w:val="00B61A65"/>
    <w:rsid w:val="00B622D2"/>
    <w:rsid w:val="00B62E49"/>
    <w:rsid w:val="00B648E0"/>
    <w:rsid w:val="00B73225"/>
    <w:rsid w:val="00B753DB"/>
    <w:rsid w:val="00B83859"/>
    <w:rsid w:val="00B91009"/>
    <w:rsid w:val="00B91C50"/>
    <w:rsid w:val="00B91C77"/>
    <w:rsid w:val="00B920F2"/>
    <w:rsid w:val="00BA0B41"/>
    <w:rsid w:val="00BA3485"/>
    <w:rsid w:val="00BA5224"/>
    <w:rsid w:val="00BB3F7C"/>
    <w:rsid w:val="00BB7871"/>
    <w:rsid w:val="00BC1AA2"/>
    <w:rsid w:val="00BC38D8"/>
    <w:rsid w:val="00BC4AB3"/>
    <w:rsid w:val="00BC575C"/>
    <w:rsid w:val="00BC735F"/>
    <w:rsid w:val="00BD555A"/>
    <w:rsid w:val="00BE0882"/>
    <w:rsid w:val="00BE7533"/>
    <w:rsid w:val="00BE7578"/>
    <w:rsid w:val="00BE7E2B"/>
    <w:rsid w:val="00BF0853"/>
    <w:rsid w:val="00BF0FFF"/>
    <w:rsid w:val="00BF1101"/>
    <w:rsid w:val="00BF46E7"/>
    <w:rsid w:val="00BF5F41"/>
    <w:rsid w:val="00C15A34"/>
    <w:rsid w:val="00C16491"/>
    <w:rsid w:val="00C23B86"/>
    <w:rsid w:val="00C30E60"/>
    <w:rsid w:val="00C343F8"/>
    <w:rsid w:val="00C3653F"/>
    <w:rsid w:val="00C4169E"/>
    <w:rsid w:val="00C45AAB"/>
    <w:rsid w:val="00C50D1E"/>
    <w:rsid w:val="00C61000"/>
    <w:rsid w:val="00C63FEB"/>
    <w:rsid w:val="00C653B3"/>
    <w:rsid w:val="00C666B5"/>
    <w:rsid w:val="00C67DEF"/>
    <w:rsid w:val="00C73E12"/>
    <w:rsid w:val="00C77F0F"/>
    <w:rsid w:val="00C94C49"/>
    <w:rsid w:val="00C958EC"/>
    <w:rsid w:val="00CA01E0"/>
    <w:rsid w:val="00CA28DA"/>
    <w:rsid w:val="00CB0258"/>
    <w:rsid w:val="00CB1CD1"/>
    <w:rsid w:val="00CB714D"/>
    <w:rsid w:val="00CC24F1"/>
    <w:rsid w:val="00CC27A9"/>
    <w:rsid w:val="00CD2BB5"/>
    <w:rsid w:val="00CD33B0"/>
    <w:rsid w:val="00CE381C"/>
    <w:rsid w:val="00CF0679"/>
    <w:rsid w:val="00CF183B"/>
    <w:rsid w:val="00CF49AB"/>
    <w:rsid w:val="00D00877"/>
    <w:rsid w:val="00D05278"/>
    <w:rsid w:val="00D12D9C"/>
    <w:rsid w:val="00D13F60"/>
    <w:rsid w:val="00D213C8"/>
    <w:rsid w:val="00D215A5"/>
    <w:rsid w:val="00D24450"/>
    <w:rsid w:val="00D31793"/>
    <w:rsid w:val="00D32510"/>
    <w:rsid w:val="00D33B84"/>
    <w:rsid w:val="00D36F89"/>
    <w:rsid w:val="00D4109B"/>
    <w:rsid w:val="00D45A33"/>
    <w:rsid w:val="00D554CA"/>
    <w:rsid w:val="00D55823"/>
    <w:rsid w:val="00D638D6"/>
    <w:rsid w:val="00D658D8"/>
    <w:rsid w:val="00D65EC1"/>
    <w:rsid w:val="00D772F9"/>
    <w:rsid w:val="00D8062A"/>
    <w:rsid w:val="00D8687F"/>
    <w:rsid w:val="00DA6863"/>
    <w:rsid w:val="00DA7870"/>
    <w:rsid w:val="00DD4EC5"/>
    <w:rsid w:val="00DE0300"/>
    <w:rsid w:val="00DE079B"/>
    <w:rsid w:val="00DE1F10"/>
    <w:rsid w:val="00DE3DC8"/>
    <w:rsid w:val="00DE7081"/>
    <w:rsid w:val="00DE7ACA"/>
    <w:rsid w:val="00DF21D6"/>
    <w:rsid w:val="00DF7946"/>
    <w:rsid w:val="00E04E4C"/>
    <w:rsid w:val="00E105CE"/>
    <w:rsid w:val="00E2604C"/>
    <w:rsid w:val="00E27CC7"/>
    <w:rsid w:val="00E30C34"/>
    <w:rsid w:val="00E34FF4"/>
    <w:rsid w:val="00E35F40"/>
    <w:rsid w:val="00E423EB"/>
    <w:rsid w:val="00E52D93"/>
    <w:rsid w:val="00E53087"/>
    <w:rsid w:val="00E565DE"/>
    <w:rsid w:val="00E60D7E"/>
    <w:rsid w:val="00E6199A"/>
    <w:rsid w:val="00E62718"/>
    <w:rsid w:val="00E63C57"/>
    <w:rsid w:val="00E728B2"/>
    <w:rsid w:val="00E80063"/>
    <w:rsid w:val="00E80815"/>
    <w:rsid w:val="00E91E04"/>
    <w:rsid w:val="00E93C3C"/>
    <w:rsid w:val="00E94220"/>
    <w:rsid w:val="00EA31E6"/>
    <w:rsid w:val="00EA59F8"/>
    <w:rsid w:val="00EC3B14"/>
    <w:rsid w:val="00EC7CA1"/>
    <w:rsid w:val="00ED653C"/>
    <w:rsid w:val="00EE0994"/>
    <w:rsid w:val="00EE2A7D"/>
    <w:rsid w:val="00EF68BB"/>
    <w:rsid w:val="00EF755D"/>
    <w:rsid w:val="00EF775C"/>
    <w:rsid w:val="00F03AEE"/>
    <w:rsid w:val="00F07A8B"/>
    <w:rsid w:val="00F16EE1"/>
    <w:rsid w:val="00F239F1"/>
    <w:rsid w:val="00F27F81"/>
    <w:rsid w:val="00F325F3"/>
    <w:rsid w:val="00F341CD"/>
    <w:rsid w:val="00F361DA"/>
    <w:rsid w:val="00F4023B"/>
    <w:rsid w:val="00F45588"/>
    <w:rsid w:val="00F46A79"/>
    <w:rsid w:val="00F52CD4"/>
    <w:rsid w:val="00F535EE"/>
    <w:rsid w:val="00F66785"/>
    <w:rsid w:val="00F7006F"/>
    <w:rsid w:val="00F76CA2"/>
    <w:rsid w:val="00F90E17"/>
    <w:rsid w:val="00F91496"/>
    <w:rsid w:val="00F93171"/>
    <w:rsid w:val="00FA30EB"/>
    <w:rsid w:val="00FA7DE0"/>
    <w:rsid w:val="00FB1D7A"/>
    <w:rsid w:val="00FB2B0E"/>
    <w:rsid w:val="00FC5203"/>
    <w:rsid w:val="00FC5AAA"/>
    <w:rsid w:val="00FC777F"/>
    <w:rsid w:val="00FD203A"/>
    <w:rsid w:val="00FD3E75"/>
    <w:rsid w:val="00FE2E3C"/>
    <w:rsid w:val="00FE3509"/>
    <w:rsid w:val="00FF098F"/>
    <w:rsid w:val="00FF1183"/>
    <w:rsid w:val="00FF2A4D"/>
    <w:rsid w:val="00FF7AA6"/>
    <w:rsid w:val="01233651"/>
    <w:rsid w:val="01E305A8"/>
    <w:rsid w:val="02086871"/>
    <w:rsid w:val="022A679E"/>
    <w:rsid w:val="028E2C3F"/>
    <w:rsid w:val="02B36F84"/>
    <w:rsid w:val="036728EF"/>
    <w:rsid w:val="039A1E78"/>
    <w:rsid w:val="03B76BCA"/>
    <w:rsid w:val="04484BF3"/>
    <w:rsid w:val="044F2C20"/>
    <w:rsid w:val="048C4C83"/>
    <w:rsid w:val="04A84D66"/>
    <w:rsid w:val="04D126E3"/>
    <w:rsid w:val="054C22B0"/>
    <w:rsid w:val="05925258"/>
    <w:rsid w:val="063A5BA9"/>
    <w:rsid w:val="068C21CA"/>
    <w:rsid w:val="068D34CF"/>
    <w:rsid w:val="06A046EE"/>
    <w:rsid w:val="074B2983"/>
    <w:rsid w:val="08074F3A"/>
    <w:rsid w:val="08D6664C"/>
    <w:rsid w:val="094C6FB6"/>
    <w:rsid w:val="098531AD"/>
    <w:rsid w:val="09953447"/>
    <w:rsid w:val="09E154F7"/>
    <w:rsid w:val="0A224330"/>
    <w:rsid w:val="0A397E8E"/>
    <w:rsid w:val="0A607912"/>
    <w:rsid w:val="0A696CA3"/>
    <w:rsid w:val="0A911487"/>
    <w:rsid w:val="0A946DD2"/>
    <w:rsid w:val="0AF8308E"/>
    <w:rsid w:val="0BB03BB9"/>
    <w:rsid w:val="0C0F343A"/>
    <w:rsid w:val="0C4F0E2F"/>
    <w:rsid w:val="0C9B5CBE"/>
    <w:rsid w:val="0CC05A1B"/>
    <w:rsid w:val="0CFF46A9"/>
    <w:rsid w:val="0D712BE6"/>
    <w:rsid w:val="0E713A15"/>
    <w:rsid w:val="0E793075"/>
    <w:rsid w:val="0E854ECB"/>
    <w:rsid w:val="0EA40291"/>
    <w:rsid w:val="0EB053A8"/>
    <w:rsid w:val="0F42552F"/>
    <w:rsid w:val="0F7C619B"/>
    <w:rsid w:val="10123CEB"/>
    <w:rsid w:val="105D2CE2"/>
    <w:rsid w:val="11244223"/>
    <w:rsid w:val="11D436C0"/>
    <w:rsid w:val="12363900"/>
    <w:rsid w:val="125103BF"/>
    <w:rsid w:val="12876C72"/>
    <w:rsid w:val="129330BD"/>
    <w:rsid w:val="12A771A7"/>
    <w:rsid w:val="12BD3354"/>
    <w:rsid w:val="13005B41"/>
    <w:rsid w:val="13725976"/>
    <w:rsid w:val="139C061D"/>
    <w:rsid w:val="13B45041"/>
    <w:rsid w:val="13E77B33"/>
    <w:rsid w:val="14493A80"/>
    <w:rsid w:val="147F680D"/>
    <w:rsid w:val="14974EB6"/>
    <w:rsid w:val="15CC454F"/>
    <w:rsid w:val="15FB0EBE"/>
    <w:rsid w:val="16117544"/>
    <w:rsid w:val="16757551"/>
    <w:rsid w:val="16B212CB"/>
    <w:rsid w:val="17513688"/>
    <w:rsid w:val="18186614"/>
    <w:rsid w:val="182F2BD3"/>
    <w:rsid w:val="18D75D12"/>
    <w:rsid w:val="18ED175C"/>
    <w:rsid w:val="19632DB3"/>
    <w:rsid w:val="19687401"/>
    <w:rsid w:val="197F26E3"/>
    <w:rsid w:val="19AE79AF"/>
    <w:rsid w:val="1A3A2E16"/>
    <w:rsid w:val="1AD17EA1"/>
    <w:rsid w:val="1AE74234"/>
    <w:rsid w:val="1B021A04"/>
    <w:rsid w:val="1B132AFA"/>
    <w:rsid w:val="1B5857EC"/>
    <w:rsid w:val="1B8710AC"/>
    <w:rsid w:val="1B8B32AD"/>
    <w:rsid w:val="1BF8050C"/>
    <w:rsid w:val="1C0664F3"/>
    <w:rsid w:val="1C1D5E85"/>
    <w:rsid w:val="1C341BDD"/>
    <w:rsid w:val="1D0574B6"/>
    <w:rsid w:val="1D296169"/>
    <w:rsid w:val="1D664248"/>
    <w:rsid w:val="1D682FCE"/>
    <w:rsid w:val="1E12144E"/>
    <w:rsid w:val="1E8F3763"/>
    <w:rsid w:val="1EE45D3E"/>
    <w:rsid w:val="1F782B90"/>
    <w:rsid w:val="1FBB471C"/>
    <w:rsid w:val="1FD91FB7"/>
    <w:rsid w:val="204B2D06"/>
    <w:rsid w:val="20510493"/>
    <w:rsid w:val="208D02F8"/>
    <w:rsid w:val="20A26928"/>
    <w:rsid w:val="216D5C99"/>
    <w:rsid w:val="21B80CDF"/>
    <w:rsid w:val="21C83A99"/>
    <w:rsid w:val="222B31B5"/>
    <w:rsid w:val="227A1D67"/>
    <w:rsid w:val="22B570D2"/>
    <w:rsid w:val="22C30B2F"/>
    <w:rsid w:val="23050D61"/>
    <w:rsid w:val="239C6FF2"/>
    <w:rsid w:val="23CD3596"/>
    <w:rsid w:val="23D26C03"/>
    <w:rsid w:val="240E6C34"/>
    <w:rsid w:val="24106A19"/>
    <w:rsid w:val="245F617A"/>
    <w:rsid w:val="247C1CF0"/>
    <w:rsid w:val="25870A1F"/>
    <w:rsid w:val="26CE4686"/>
    <w:rsid w:val="26DC3251"/>
    <w:rsid w:val="27050E90"/>
    <w:rsid w:val="277F4129"/>
    <w:rsid w:val="27C70F4E"/>
    <w:rsid w:val="27D74A6C"/>
    <w:rsid w:val="27F31F78"/>
    <w:rsid w:val="28812427"/>
    <w:rsid w:val="29A2618C"/>
    <w:rsid w:val="2A9B2FF6"/>
    <w:rsid w:val="2AAB6548"/>
    <w:rsid w:val="2ABB7DA9"/>
    <w:rsid w:val="2B347285"/>
    <w:rsid w:val="2BE94652"/>
    <w:rsid w:val="2BFD2C46"/>
    <w:rsid w:val="2C2801FE"/>
    <w:rsid w:val="2C307B11"/>
    <w:rsid w:val="2C986CA4"/>
    <w:rsid w:val="2CF016BD"/>
    <w:rsid w:val="2D7D1D23"/>
    <w:rsid w:val="2D8C31D6"/>
    <w:rsid w:val="2DB12B6C"/>
    <w:rsid w:val="2DC412A4"/>
    <w:rsid w:val="2E075E1A"/>
    <w:rsid w:val="2E252B57"/>
    <w:rsid w:val="2E2E2A6F"/>
    <w:rsid w:val="2E445D77"/>
    <w:rsid w:val="2E485C53"/>
    <w:rsid w:val="2ECB6253"/>
    <w:rsid w:val="2ED15F5E"/>
    <w:rsid w:val="2EF6554A"/>
    <w:rsid w:val="2F0C54A1"/>
    <w:rsid w:val="2F127098"/>
    <w:rsid w:val="2F1F2BED"/>
    <w:rsid w:val="2F4A23A5"/>
    <w:rsid w:val="2F4B45A3"/>
    <w:rsid w:val="2FCC279A"/>
    <w:rsid w:val="307C4365"/>
    <w:rsid w:val="30E47410"/>
    <w:rsid w:val="310B74FE"/>
    <w:rsid w:val="31397652"/>
    <w:rsid w:val="31784BB8"/>
    <w:rsid w:val="318D5776"/>
    <w:rsid w:val="32073898"/>
    <w:rsid w:val="32385880"/>
    <w:rsid w:val="32CF46AC"/>
    <w:rsid w:val="32EA1597"/>
    <w:rsid w:val="330246BF"/>
    <w:rsid w:val="33E4120A"/>
    <w:rsid w:val="33F971D5"/>
    <w:rsid w:val="34657B4D"/>
    <w:rsid w:val="352F116C"/>
    <w:rsid w:val="35461F8A"/>
    <w:rsid w:val="35BF583C"/>
    <w:rsid w:val="35FD0138"/>
    <w:rsid w:val="367C51F4"/>
    <w:rsid w:val="368E783E"/>
    <w:rsid w:val="368F6E0E"/>
    <w:rsid w:val="377A6FE0"/>
    <w:rsid w:val="37EE481F"/>
    <w:rsid w:val="37FF15EF"/>
    <w:rsid w:val="38255253"/>
    <w:rsid w:val="384A7D8B"/>
    <w:rsid w:val="38B8008D"/>
    <w:rsid w:val="38EC5965"/>
    <w:rsid w:val="39674039"/>
    <w:rsid w:val="39E5361A"/>
    <w:rsid w:val="3A127EF1"/>
    <w:rsid w:val="3ADB521F"/>
    <w:rsid w:val="3B0803EE"/>
    <w:rsid w:val="3B2240B7"/>
    <w:rsid w:val="3B586296"/>
    <w:rsid w:val="3BB16196"/>
    <w:rsid w:val="3C7233E3"/>
    <w:rsid w:val="3C872CDC"/>
    <w:rsid w:val="3D254B9F"/>
    <w:rsid w:val="3DB3244A"/>
    <w:rsid w:val="3DC75E15"/>
    <w:rsid w:val="3DD34EFD"/>
    <w:rsid w:val="3E002E01"/>
    <w:rsid w:val="3E0C4DE7"/>
    <w:rsid w:val="3E1B4914"/>
    <w:rsid w:val="3E441640"/>
    <w:rsid w:val="3EBC72D9"/>
    <w:rsid w:val="3FB60916"/>
    <w:rsid w:val="3FBF1A25"/>
    <w:rsid w:val="400B4396"/>
    <w:rsid w:val="400C79D9"/>
    <w:rsid w:val="40467768"/>
    <w:rsid w:val="41710BEB"/>
    <w:rsid w:val="43F0630C"/>
    <w:rsid w:val="443261F1"/>
    <w:rsid w:val="44482D1D"/>
    <w:rsid w:val="4487079E"/>
    <w:rsid w:val="44D202F8"/>
    <w:rsid w:val="45584D4A"/>
    <w:rsid w:val="457418DD"/>
    <w:rsid w:val="45882F07"/>
    <w:rsid w:val="45D104CD"/>
    <w:rsid w:val="46985E71"/>
    <w:rsid w:val="47722303"/>
    <w:rsid w:val="487D468E"/>
    <w:rsid w:val="498176A7"/>
    <w:rsid w:val="4990416F"/>
    <w:rsid w:val="49D773A1"/>
    <w:rsid w:val="4A4A2582"/>
    <w:rsid w:val="4A593B07"/>
    <w:rsid w:val="4A7D729E"/>
    <w:rsid w:val="4B081B4D"/>
    <w:rsid w:val="4B344FCA"/>
    <w:rsid w:val="4C700441"/>
    <w:rsid w:val="4C8C7D18"/>
    <w:rsid w:val="4D0314E7"/>
    <w:rsid w:val="4DBE61CD"/>
    <w:rsid w:val="4E003B10"/>
    <w:rsid w:val="4E18349A"/>
    <w:rsid w:val="4E6E3D62"/>
    <w:rsid w:val="4EAF741E"/>
    <w:rsid w:val="4F124E30"/>
    <w:rsid w:val="4F17704B"/>
    <w:rsid w:val="4F844FF2"/>
    <w:rsid w:val="4FEB47AE"/>
    <w:rsid w:val="501B3965"/>
    <w:rsid w:val="50851129"/>
    <w:rsid w:val="50941CE7"/>
    <w:rsid w:val="50AF7D6F"/>
    <w:rsid w:val="51031187"/>
    <w:rsid w:val="512273D6"/>
    <w:rsid w:val="516B1336"/>
    <w:rsid w:val="517C3C40"/>
    <w:rsid w:val="52722ED3"/>
    <w:rsid w:val="52BC45CC"/>
    <w:rsid w:val="543F3224"/>
    <w:rsid w:val="544112CB"/>
    <w:rsid w:val="54B965DA"/>
    <w:rsid w:val="55165F7C"/>
    <w:rsid w:val="552733C1"/>
    <w:rsid w:val="558A7DE9"/>
    <w:rsid w:val="55C61C91"/>
    <w:rsid w:val="56753C0E"/>
    <w:rsid w:val="56D56319"/>
    <w:rsid w:val="574014B2"/>
    <w:rsid w:val="57846DCB"/>
    <w:rsid w:val="57D91633"/>
    <w:rsid w:val="58100693"/>
    <w:rsid w:val="585E1C89"/>
    <w:rsid w:val="58AB3A9E"/>
    <w:rsid w:val="58CC6C66"/>
    <w:rsid w:val="5A097746"/>
    <w:rsid w:val="5A4D54C3"/>
    <w:rsid w:val="5A623658"/>
    <w:rsid w:val="5AB43447"/>
    <w:rsid w:val="5B091F7B"/>
    <w:rsid w:val="5B137933"/>
    <w:rsid w:val="5B83334D"/>
    <w:rsid w:val="5C5308EB"/>
    <w:rsid w:val="5C68052A"/>
    <w:rsid w:val="5C6B6874"/>
    <w:rsid w:val="5D0900B4"/>
    <w:rsid w:val="5DDE6840"/>
    <w:rsid w:val="5ED7215D"/>
    <w:rsid w:val="5ED73B27"/>
    <w:rsid w:val="5F371C50"/>
    <w:rsid w:val="5F8456B5"/>
    <w:rsid w:val="600C3BA0"/>
    <w:rsid w:val="601B5FE1"/>
    <w:rsid w:val="60C95303"/>
    <w:rsid w:val="60FE4263"/>
    <w:rsid w:val="614C0CA6"/>
    <w:rsid w:val="617940FB"/>
    <w:rsid w:val="62A80C88"/>
    <w:rsid w:val="62DD2B3E"/>
    <w:rsid w:val="62E04B81"/>
    <w:rsid w:val="62EB6AA3"/>
    <w:rsid w:val="636C7DAE"/>
    <w:rsid w:val="63D870A2"/>
    <w:rsid w:val="640500E3"/>
    <w:rsid w:val="65305110"/>
    <w:rsid w:val="65567717"/>
    <w:rsid w:val="65920F87"/>
    <w:rsid w:val="6737336E"/>
    <w:rsid w:val="67675D53"/>
    <w:rsid w:val="67B71637"/>
    <w:rsid w:val="67FC4329"/>
    <w:rsid w:val="68EE362C"/>
    <w:rsid w:val="694158BA"/>
    <w:rsid w:val="69BF718E"/>
    <w:rsid w:val="6A1038AF"/>
    <w:rsid w:val="6A3765D0"/>
    <w:rsid w:val="6A426762"/>
    <w:rsid w:val="6ADE5257"/>
    <w:rsid w:val="6B6A1A94"/>
    <w:rsid w:val="6B8303F3"/>
    <w:rsid w:val="6C39469E"/>
    <w:rsid w:val="6C423CA9"/>
    <w:rsid w:val="6C750492"/>
    <w:rsid w:val="6C974665"/>
    <w:rsid w:val="6CAF3729"/>
    <w:rsid w:val="6F30402F"/>
    <w:rsid w:val="6F3E444A"/>
    <w:rsid w:val="6FCA0130"/>
    <w:rsid w:val="6FE70627"/>
    <w:rsid w:val="6FEE728E"/>
    <w:rsid w:val="708C1980"/>
    <w:rsid w:val="708C3333"/>
    <w:rsid w:val="70940A04"/>
    <w:rsid w:val="709A00CB"/>
    <w:rsid w:val="70BA6401"/>
    <w:rsid w:val="70FE1D8C"/>
    <w:rsid w:val="71356769"/>
    <w:rsid w:val="717B62DA"/>
    <w:rsid w:val="71830048"/>
    <w:rsid w:val="71866DCF"/>
    <w:rsid w:val="71CF4C44"/>
    <w:rsid w:val="72570C51"/>
    <w:rsid w:val="72714348"/>
    <w:rsid w:val="73425E2D"/>
    <w:rsid w:val="73D44095"/>
    <w:rsid w:val="74536BAA"/>
    <w:rsid w:val="74730A65"/>
    <w:rsid w:val="74947BD3"/>
    <w:rsid w:val="7504607B"/>
    <w:rsid w:val="7509545F"/>
    <w:rsid w:val="753A2158"/>
    <w:rsid w:val="757640AB"/>
    <w:rsid w:val="75BB2D96"/>
    <w:rsid w:val="75E16C37"/>
    <w:rsid w:val="76112B4A"/>
    <w:rsid w:val="767E1A75"/>
    <w:rsid w:val="77ED2F50"/>
    <w:rsid w:val="78C45E02"/>
    <w:rsid w:val="797453E1"/>
    <w:rsid w:val="798C53B9"/>
    <w:rsid w:val="79A90CA8"/>
    <w:rsid w:val="7A3133BF"/>
    <w:rsid w:val="7A6804C0"/>
    <w:rsid w:val="7BC8771A"/>
    <w:rsid w:val="7C46392A"/>
    <w:rsid w:val="7C6B3EC7"/>
    <w:rsid w:val="7C9603F6"/>
    <w:rsid w:val="7CCF3C4D"/>
    <w:rsid w:val="7DAB4988"/>
    <w:rsid w:val="7DC54F83"/>
    <w:rsid w:val="7E1B0CA4"/>
    <w:rsid w:val="7E4A6645"/>
    <w:rsid w:val="7E663191"/>
    <w:rsid w:val="7E904023"/>
    <w:rsid w:val="7EDA2530"/>
    <w:rsid w:val="7EF21136"/>
    <w:rsid w:val="7F894F07"/>
    <w:rsid w:val="7FA42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rPr>
  </w:style>
  <w:style w:type="paragraph" w:styleId="3">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unhideWhenUsed/>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unhideWhenUsed/>
    <w:qFormat/>
    <w:uiPriority w:val="99"/>
    <w:rPr>
      <w:color w:val="0000FF"/>
      <w:u w:val="single"/>
    </w:rPr>
  </w:style>
  <w:style w:type="character" w:customStyle="1" w:styleId="8">
    <w:name w:val="font61"/>
    <w:qFormat/>
    <w:uiPriority w:val="0"/>
    <w:rPr>
      <w:rFonts w:hint="eastAsia" w:ascii="楷体_GB2312" w:eastAsia="楷体_GB2312" w:cs="楷体_GB2312"/>
      <w:color w:val="000000"/>
      <w:sz w:val="28"/>
      <w:szCs w:val="28"/>
      <w:u w:val="none"/>
    </w:rPr>
  </w:style>
  <w:style w:type="paragraph" w:customStyle="1" w:styleId="9">
    <w:name w:val="正文 A"/>
    <w:qFormat/>
    <w:uiPriority w:val="0"/>
    <w:pPr>
      <w:framePr w:wrap="around" w:vAnchor="margin" w:hAnchor="text" w:yAlign="top"/>
      <w:widowControl w:val="0"/>
      <w:jc w:val="both"/>
    </w:pPr>
    <w:rPr>
      <w:rFonts w:ascii="仿宋_GB2312" w:hAnsi="仿宋_GB2312" w:eastAsia="仿宋_GB2312" w:cs="仿宋_GB2312"/>
      <w:color w:val="000000"/>
      <w:sz w:val="30"/>
      <w:szCs w:val="30"/>
      <w:u w:color="000000"/>
      <w:lang w:val="en-US" w:eastAsia="zh-CN" w:bidi="ar-SA"/>
    </w:rPr>
  </w:style>
  <w:style w:type="paragraph" w:customStyle="1" w:styleId="10">
    <w:name w:val="表格加粗"/>
    <w:basedOn w:val="1"/>
    <w:qFormat/>
    <w:uiPriority w:val="0"/>
    <w:pPr>
      <w:spacing w:line="300" w:lineRule="exact"/>
      <w:jc w:val="center"/>
    </w:pPr>
    <w:rPr>
      <w:rFonts w:ascii="Calibri" w:hAnsi="Calibri" w:cs="宋体"/>
      <w:b/>
      <w:bCs/>
      <w:sz w:val="24"/>
    </w:rPr>
  </w:style>
  <w:style w:type="paragraph" w:customStyle="1" w:styleId="11">
    <w:name w:val="表格顶格文字"/>
    <w:basedOn w:val="1"/>
    <w:qFormat/>
    <w:uiPriority w:val="0"/>
    <w:pPr>
      <w:spacing w:line="260" w:lineRule="exact"/>
    </w:pPr>
    <w:rPr>
      <w:rFonts w:ascii="Calibri" w:hAnsi="Calibri" w:cs="宋体"/>
    </w:rPr>
  </w:style>
  <w:style w:type="paragraph" w:customStyle="1" w:styleId="12">
    <w:name w:val="表格"/>
    <w:basedOn w:val="1"/>
    <w:qFormat/>
    <w:uiPriority w:val="0"/>
    <w:pPr>
      <w:spacing w:line="400" w:lineRule="exact"/>
      <w:jc w:val="center"/>
    </w:pPr>
    <w:rPr>
      <w:rFonts w:ascii="Calibri" w:hAnsi="Calibri" w:cs="宋体"/>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C68E75-0FDC-497A-92BD-B501AA4C78CC}">
  <ds:schemaRefs/>
</ds:datastoreItem>
</file>

<file path=docProps/app.xml><?xml version="1.0" encoding="utf-8"?>
<Properties xmlns="http://schemas.openxmlformats.org/officeDocument/2006/extended-properties" xmlns:vt="http://schemas.openxmlformats.org/officeDocument/2006/docPropsVTypes">
  <Template>Normal.dotm</Template>
  <Pages>30</Pages>
  <Words>1567</Words>
  <Characters>8934</Characters>
  <Lines>74</Lines>
  <Paragraphs>20</Paragraphs>
  <TotalTime>2</TotalTime>
  <ScaleCrop>false</ScaleCrop>
  <LinksUpToDate>false</LinksUpToDate>
  <CharactersWithSpaces>10481</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2019-11-05T07:08:00Z</dcterms:created>
  <dc:creator>Administrator</dc:creator>
  <cp:lastModifiedBy>BLUEBERRY</cp:lastModifiedBy>
  <dcterms:modified xsi:type="dcterms:W3CDTF">2020-12-01T15:43:18Z</dcterms:modified>
  <dc:title>共青团东莞理工学院城市学院委员会文件</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